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D9BDF">
      <w:pPr>
        <w:spacing w:line="220" w:lineRule="atLeast"/>
        <w:rPr>
          <w:rFonts w:ascii="仿宋" w:hAnsi="仿宋" w:eastAsia="仿宋"/>
          <w:sz w:val="32"/>
          <w:szCs w:val="32"/>
        </w:rPr>
      </w:pPr>
      <w:r>
        <w:rPr>
          <w:rFonts w:hint="eastAsia" w:ascii="仿宋" w:hAnsi="仿宋" w:eastAsia="仿宋"/>
          <w:sz w:val="32"/>
          <w:szCs w:val="32"/>
        </w:rPr>
        <w:t>附件1</w:t>
      </w:r>
    </w:p>
    <w:p w14:paraId="0D0DA6F8">
      <w:pPr>
        <w:spacing w:line="360" w:lineRule="auto"/>
        <w:jc w:val="center"/>
        <w:rPr>
          <w:rFonts w:ascii="仿宋" w:hAnsi="仿宋" w:eastAsia="仿宋"/>
          <w:b/>
          <w:sz w:val="44"/>
          <w:szCs w:val="44"/>
        </w:rPr>
      </w:pPr>
      <w:r>
        <w:rPr>
          <w:rFonts w:hint="eastAsia" w:ascii="方正小标宋简体" w:hAnsi="方正小标宋简体" w:eastAsia="方正小标宋简体" w:cs="方正小标宋简体"/>
          <w:b/>
          <w:sz w:val="44"/>
          <w:szCs w:val="44"/>
        </w:rPr>
        <w:t>灵活就业人员住房公积金缴存使用协议</w:t>
      </w:r>
    </w:p>
    <w:p w14:paraId="2A0AE338">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甲方（</w:t>
      </w:r>
      <w:r>
        <w:rPr>
          <w:rFonts w:hint="eastAsia" w:ascii="仿宋" w:hAnsi="仿宋" w:eastAsia="仿宋" w:cs="仿宋"/>
          <w:sz w:val="32"/>
          <w:szCs w:val="32"/>
        </w:rPr>
        <w:t>缴存人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联系电话：</w:t>
      </w:r>
      <w:r>
        <w:rPr>
          <w:rFonts w:hint="eastAsia" w:ascii="仿宋" w:hAnsi="仿宋" w:eastAsia="仿宋" w:cs="仿宋"/>
          <w:sz w:val="32"/>
          <w:szCs w:val="32"/>
          <w:lang w:val="en-US" w:eastAsia="zh-CN"/>
        </w:rPr>
        <w:t xml:space="preserve">         </w:t>
      </w:r>
    </w:p>
    <w:p w14:paraId="29042399">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证件类型：</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证件号码：              </w:t>
      </w:r>
    </w:p>
    <w:p w14:paraId="192BF4E9">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联系地址：   </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p>
    <w:p w14:paraId="06DD4E76">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紧急联系人：</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联系电话</w:t>
      </w:r>
      <w:r>
        <w:rPr>
          <w:rFonts w:hint="eastAsia" w:ascii="仿宋" w:hAnsi="仿宋" w:eastAsia="仿宋" w:cs="仿宋"/>
          <w:sz w:val="32"/>
          <w:szCs w:val="32"/>
          <w:lang w:eastAsia="zh-CN"/>
        </w:rPr>
        <w:t>：</w:t>
      </w:r>
    </w:p>
    <w:p w14:paraId="555E62E4">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乙方：</w:t>
      </w:r>
      <w:r>
        <w:rPr>
          <w:rFonts w:hint="eastAsia" w:ascii="仿宋" w:hAnsi="仿宋" w:eastAsia="仿宋" w:cs="仿宋"/>
          <w:sz w:val="32"/>
          <w:szCs w:val="32"/>
        </w:rPr>
        <w:t>辽源市住房公积金管理中心（以下简称“市管理中心”）</w:t>
      </w:r>
    </w:p>
    <w:p w14:paraId="2A201004">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通讯地址：</w:t>
      </w:r>
      <w:r>
        <w:rPr>
          <w:rFonts w:hint="eastAsia" w:ascii="仿宋" w:hAnsi="仿宋" w:eastAsia="仿宋" w:cs="仿宋"/>
          <w:sz w:val="32"/>
          <w:szCs w:val="32"/>
        </w:rPr>
        <w:t>吉林省辽源市龙山区齐宁路655号</w:t>
      </w:r>
    </w:p>
    <w:p w14:paraId="6F4713C3">
      <w:pPr>
        <w:keepNext w:val="0"/>
        <w:keepLines w:val="0"/>
        <w:pageBreakBefore w:val="0"/>
        <w:widowControl/>
        <w:kinsoku/>
        <w:wordWrap/>
        <w:overflowPunct/>
        <w:topLinePunct w:val="0"/>
        <w:autoSpaceDE/>
        <w:autoSpaceDN/>
        <w:bidi w:val="0"/>
        <w:adjustRightInd w:val="0"/>
        <w:snapToGrid w:val="0"/>
        <w:spacing w:line="576" w:lineRule="exact"/>
        <w:ind w:firstLine="646"/>
        <w:jc w:val="both"/>
        <w:textAlignment w:val="auto"/>
        <w:rPr>
          <w:rFonts w:hint="eastAsia" w:ascii="仿宋" w:hAnsi="仿宋" w:eastAsia="仿宋"/>
          <w:sz w:val="32"/>
          <w:szCs w:val="32"/>
        </w:rPr>
      </w:pPr>
      <w:r>
        <w:rPr>
          <w:rFonts w:hint="eastAsia" w:ascii="仿宋" w:hAnsi="仿宋" w:eastAsia="仿宋"/>
          <w:sz w:val="32"/>
          <w:szCs w:val="32"/>
        </w:rPr>
        <w:t>根据《辽源市住房公积金</w:t>
      </w:r>
      <w:r>
        <w:rPr>
          <w:rFonts w:hint="eastAsia" w:ascii="仿宋" w:hAnsi="仿宋" w:eastAsia="仿宋"/>
          <w:sz w:val="32"/>
          <w:szCs w:val="32"/>
          <w:lang w:val="en-US" w:eastAsia="zh-CN"/>
        </w:rPr>
        <w:t>管理中心</w:t>
      </w:r>
      <w:r>
        <w:rPr>
          <w:rFonts w:hint="eastAsia" w:ascii="仿宋" w:hAnsi="仿宋" w:eastAsia="仿宋"/>
          <w:sz w:val="32"/>
          <w:szCs w:val="32"/>
        </w:rPr>
        <w:t>归集管理办法</w:t>
      </w:r>
      <w:r>
        <w:rPr>
          <w:rFonts w:hint="eastAsia" w:ascii="仿宋" w:hAnsi="仿宋" w:eastAsia="仿宋"/>
          <w:sz w:val="32"/>
          <w:szCs w:val="32"/>
          <w:lang w:eastAsia="zh-CN"/>
        </w:rPr>
        <w:t>》</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辽源市灵活就业人员住房公积金缴存使用管理办法</w:t>
      </w:r>
      <w:r>
        <w:rPr>
          <w:rFonts w:hint="eastAsia" w:ascii="仿宋" w:hAnsi="仿宋" w:eastAsia="仿宋"/>
          <w:sz w:val="32"/>
          <w:szCs w:val="32"/>
          <w:highlight w:val="none"/>
          <w:lang w:eastAsia="zh-CN"/>
        </w:rPr>
        <w:t>》《</w:t>
      </w:r>
      <w:r>
        <w:rPr>
          <w:rFonts w:hint="eastAsia" w:ascii="仿宋" w:hAnsi="仿宋" w:eastAsia="仿宋"/>
          <w:sz w:val="32"/>
          <w:szCs w:val="32"/>
          <w:highlight w:val="none"/>
        </w:rPr>
        <w:t>辽源市住房公积金</w:t>
      </w:r>
      <w:r>
        <w:rPr>
          <w:rFonts w:hint="eastAsia" w:ascii="仿宋" w:hAnsi="仿宋" w:eastAsia="仿宋"/>
          <w:sz w:val="32"/>
          <w:szCs w:val="32"/>
          <w:highlight w:val="none"/>
          <w:lang w:val="en-US" w:eastAsia="zh-CN"/>
        </w:rPr>
        <w:t>管理中心提取管理办法</w:t>
      </w:r>
      <w:r>
        <w:rPr>
          <w:rFonts w:hint="eastAsia" w:ascii="仿宋" w:hAnsi="仿宋" w:eastAsia="仿宋"/>
          <w:sz w:val="32"/>
          <w:szCs w:val="32"/>
          <w:highlight w:val="none"/>
          <w:lang w:eastAsia="zh-CN"/>
        </w:rPr>
        <w:t>》</w:t>
      </w:r>
      <w:r>
        <w:rPr>
          <w:rFonts w:hint="eastAsia" w:ascii="仿宋" w:hAnsi="仿宋" w:eastAsia="仿宋"/>
          <w:sz w:val="32"/>
          <w:szCs w:val="32"/>
          <w:lang w:eastAsia="zh-CN"/>
        </w:rPr>
        <w:t>和</w:t>
      </w:r>
      <w:r>
        <w:rPr>
          <w:rFonts w:hint="eastAsia" w:ascii="仿宋" w:hAnsi="仿宋" w:eastAsia="仿宋"/>
          <w:sz w:val="32"/>
          <w:szCs w:val="32"/>
        </w:rPr>
        <w:t>《辽源市住房公积金</w:t>
      </w:r>
      <w:r>
        <w:rPr>
          <w:rFonts w:hint="eastAsia" w:ascii="仿宋" w:hAnsi="仿宋" w:eastAsia="仿宋"/>
          <w:sz w:val="32"/>
          <w:szCs w:val="32"/>
          <w:lang w:val="en-US" w:eastAsia="zh-CN"/>
        </w:rPr>
        <w:t>管理中心</w:t>
      </w:r>
      <w:r>
        <w:rPr>
          <w:rFonts w:hint="eastAsia" w:ascii="仿宋" w:hAnsi="仿宋" w:eastAsia="仿宋"/>
          <w:sz w:val="32"/>
          <w:szCs w:val="32"/>
        </w:rPr>
        <w:t>贷款管理办法》，明确缴存人与</w:t>
      </w:r>
      <w:r>
        <w:rPr>
          <w:rFonts w:hint="eastAsia" w:ascii="仿宋" w:hAnsi="仿宋" w:eastAsia="仿宋"/>
          <w:sz w:val="32"/>
          <w:szCs w:val="32"/>
          <w:lang w:val="en-US" w:eastAsia="zh-CN"/>
        </w:rPr>
        <w:t>市管理</w:t>
      </w:r>
      <w:r>
        <w:rPr>
          <w:rFonts w:hint="eastAsia" w:ascii="仿宋" w:hAnsi="仿宋" w:eastAsia="仿宋"/>
          <w:sz w:val="32"/>
          <w:szCs w:val="32"/>
        </w:rPr>
        <w:t>中心的权利和义务，双方在平等</w:t>
      </w:r>
      <w:r>
        <w:rPr>
          <w:rFonts w:hint="eastAsia" w:ascii="仿宋" w:hAnsi="仿宋" w:eastAsia="仿宋"/>
          <w:sz w:val="32"/>
          <w:szCs w:val="32"/>
          <w:lang w:val="en-US" w:eastAsia="zh-CN"/>
        </w:rPr>
        <w:t>、</w:t>
      </w:r>
      <w:r>
        <w:rPr>
          <w:rFonts w:hint="eastAsia" w:ascii="仿宋" w:hAnsi="仿宋" w:eastAsia="仿宋"/>
          <w:sz w:val="32"/>
          <w:szCs w:val="32"/>
        </w:rPr>
        <w:t>自愿的基础上签订本协议，并保证所填写内容真实准确，对双方约定事项共同遵守。</w:t>
      </w:r>
    </w:p>
    <w:p w14:paraId="62AEDEC4">
      <w:pPr>
        <w:keepNext w:val="0"/>
        <w:keepLines w:val="0"/>
        <w:pageBreakBefore w:val="0"/>
        <w:widowControl/>
        <w:kinsoku/>
        <w:wordWrap/>
        <w:overflowPunct/>
        <w:topLinePunct w:val="0"/>
        <w:autoSpaceDE/>
        <w:autoSpaceDN/>
        <w:bidi w:val="0"/>
        <w:adjustRightInd w:val="0"/>
        <w:snapToGrid w:val="0"/>
        <w:spacing w:line="576" w:lineRule="exact"/>
        <w:ind w:firstLine="646"/>
        <w:jc w:val="both"/>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甲方（缴存人）</w:t>
      </w:r>
      <w:r>
        <w:rPr>
          <w:rFonts w:hint="eastAsia" w:ascii="仿宋" w:hAnsi="仿宋" w:eastAsia="仿宋"/>
          <w:sz w:val="32"/>
          <w:szCs w:val="32"/>
          <w:highlight w:val="none"/>
        </w:rPr>
        <w:t>确认并承诺</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甲方</w:t>
      </w:r>
      <w:r>
        <w:rPr>
          <w:rFonts w:hint="eastAsia" w:ascii="仿宋" w:hAnsi="仿宋" w:eastAsia="仿宋"/>
          <w:sz w:val="32"/>
          <w:szCs w:val="32"/>
          <w:highlight w:val="none"/>
        </w:rPr>
        <w:t>为本行政区域内以灵活就业身份自谋职业人员</w:t>
      </w:r>
      <w:r>
        <w:rPr>
          <w:rFonts w:hint="eastAsia" w:ascii="仿宋" w:hAnsi="仿宋" w:eastAsia="仿宋"/>
          <w:sz w:val="32"/>
          <w:szCs w:val="32"/>
          <w:highlight w:val="none"/>
          <w:lang w:eastAsia="zh-CN"/>
        </w:rPr>
        <w:t>，</w:t>
      </w:r>
      <w:r>
        <w:rPr>
          <w:rFonts w:hint="eastAsia" w:ascii="仿宋" w:hAnsi="仿宋" w:eastAsia="仿宋"/>
          <w:sz w:val="32"/>
          <w:szCs w:val="32"/>
          <w:highlight w:val="none"/>
        </w:rPr>
        <w:t>与强制缴存单位不存在劳动合同关系，目前未在本行政区域内开设住房公积金缴存账户或者原缴存账户已经封存。以上填写信息均准确无误，因承诺不实造成的后果及法律责任由</w:t>
      </w:r>
      <w:r>
        <w:rPr>
          <w:rFonts w:hint="eastAsia" w:ascii="仿宋" w:hAnsi="仿宋" w:eastAsia="仿宋"/>
          <w:sz w:val="32"/>
          <w:szCs w:val="32"/>
          <w:highlight w:val="none"/>
          <w:lang w:val="en-US" w:eastAsia="zh-CN"/>
        </w:rPr>
        <w:t>甲方</w:t>
      </w:r>
      <w:r>
        <w:rPr>
          <w:rFonts w:hint="eastAsia" w:ascii="仿宋" w:hAnsi="仿宋" w:eastAsia="仿宋"/>
          <w:sz w:val="32"/>
          <w:szCs w:val="32"/>
          <w:highlight w:val="none"/>
        </w:rPr>
        <w:t>自行承担。</w:t>
      </w:r>
    </w:p>
    <w:p w14:paraId="7A4890FD">
      <w:pPr>
        <w:keepNext w:val="0"/>
        <w:keepLines w:val="0"/>
        <w:pageBreakBefore w:val="0"/>
        <w:widowControl/>
        <w:kinsoku/>
        <w:wordWrap/>
        <w:overflowPunct/>
        <w:topLinePunct w:val="0"/>
        <w:autoSpaceDE/>
        <w:autoSpaceDN/>
        <w:bidi w:val="0"/>
        <w:adjustRightInd w:val="0"/>
        <w:snapToGrid w:val="0"/>
        <w:spacing w:line="576" w:lineRule="exact"/>
        <w:ind w:firstLine="645"/>
        <w:jc w:val="center"/>
        <w:textAlignment w:val="auto"/>
        <w:rPr>
          <w:rFonts w:hint="eastAsia" w:ascii="黑体" w:hAnsi="黑体" w:eastAsia="黑体" w:cs="黑体"/>
          <w:sz w:val="32"/>
          <w:szCs w:val="32"/>
          <w:u w:val="single"/>
        </w:rPr>
      </w:pPr>
      <w:r>
        <w:rPr>
          <w:rFonts w:hint="eastAsia" w:ascii="黑体" w:hAnsi="黑体" w:eastAsia="黑体" w:cs="黑体"/>
          <w:sz w:val="32"/>
          <w:szCs w:val="32"/>
        </w:rPr>
        <w:t>一、</w:t>
      </w:r>
      <w:r>
        <w:rPr>
          <w:rFonts w:hint="eastAsia" w:ascii="黑体" w:hAnsi="黑体" w:eastAsia="黑体" w:cs="黑体"/>
          <w:b/>
          <w:bCs/>
          <w:sz w:val="32"/>
          <w:szCs w:val="32"/>
          <w:lang w:val="en-US" w:eastAsia="zh-CN"/>
        </w:rPr>
        <w:t>甲方（</w:t>
      </w:r>
      <w:r>
        <w:rPr>
          <w:rFonts w:hint="eastAsia" w:ascii="黑体" w:hAnsi="黑体" w:eastAsia="黑体" w:cs="黑体"/>
          <w:b/>
          <w:sz w:val="32"/>
          <w:szCs w:val="32"/>
        </w:rPr>
        <w:t>缴存人</w:t>
      </w:r>
      <w:r>
        <w:rPr>
          <w:rFonts w:hint="eastAsia" w:ascii="黑体" w:hAnsi="黑体" w:eastAsia="黑体" w:cs="黑体"/>
          <w:b/>
          <w:bCs/>
          <w:sz w:val="32"/>
          <w:szCs w:val="32"/>
          <w:lang w:val="en-US" w:eastAsia="zh-CN"/>
        </w:rPr>
        <w:t>）</w:t>
      </w:r>
      <w:r>
        <w:rPr>
          <w:rFonts w:hint="eastAsia" w:ascii="黑体" w:hAnsi="黑体" w:eastAsia="黑体" w:cs="黑体"/>
          <w:b/>
          <w:sz w:val="32"/>
          <w:szCs w:val="32"/>
        </w:rPr>
        <w:t>的权利和义务</w:t>
      </w:r>
    </w:p>
    <w:p w14:paraId="4C936D2E">
      <w:pPr>
        <w:pStyle w:val="8"/>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3" w:firstLineChars="200"/>
        <w:jc w:val="both"/>
        <w:textAlignment w:val="auto"/>
        <w:rPr>
          <w:rFonts w:ascii="仿宋" w:hAnsi="仿宋" w:eastAsia="仿宋"/>
          <w:sz w:val="32"/>
          <w:szCs w:val="32"/>
        </w:rPr>
      </w:pPr>
      <w:r>
        <w:rPr>
          <w:rFonts w:hint="eastAsia" w:ascii="仿宋" w:hAnsi="仿宋" w:eastAsia="仿宋"/>
          <w:b/>
          <w:bCs/>
          <w:sz w:val="32"/>
          <w:szCs w:val="32"/>
          <w:lang w:val="en-US" w:eastAsia="zh-CN"/>
        </w:rPr>
        <w:t>第一条</w:t>
      </w:r>
      <w:r>
        <w:rPr>
          <w:rFonts w:hint="eastAsia" w:ascii="仿宋" w:hAnsi="仿宋" w:eastAsia="仿宋"/>
          <w:sz w:val="32"/>
          <w:szCs w:val="32"/>
          <w:lang w:val="en-US" w:eastAsia="zh-CN"/>
        </w:rPr>
        <w:t xml:space="preserve"> </w:t>
      </w:r>
      <w:r>
        <w:rPr>
          <w:rFonts w:hint="eastAsia" w:ascii="仿宋" w:hAnsi="仿宋" w:eastAsia="仿宋"/>
          <w:sz w:val="32"/>
          <w:szCs w:val="32"/>
        </w:rPr>
        <w:t>住房公积金自存入缴存人住房公积金账户之日起按照国家规定的利率计算利息，利息归缴存人个人所有。缴存人住房公积金账户封存期间，住房公积金照常计息。</w:t>
      </w:r>
    </w:p>
    <w:p w14:paraId="1463A55E">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jc w:val="both"/>
        <w:textAlignment w:val="auto"/>
        <w:rPr>
          <w:rFonts w:ascii="仿宋" w:hAnsi="仿宋" w:eastAsia="仿宋"/>
          <w:sz w:val="32"/>
          <w:szCs w:val="32"/>
        </w:rPr>
      </w:pPr>
      <w:r>
        <w:rPr>
          <w:rFonts w:hint="eastAsia" w:ascii="仿宋" w:hAnsi="仿宋" w:eastAsia="仿宋"/>
          <w:b/>
          <w:bCs/>
          <w:sz w:val="32"/>
          <w:szCs w:val="32"/>
          <w:lang w:val="en-US" w:eastAsia="zh-CN"/>
        </w:rPr>
        <w:t xml:space="preserve">第二条 </w:t>
      </w:r>
      <w:r>
        <w:rPr>
          <w:rFonts w:hint="eastAsia" w:ascii="仿宋" w:hAnsi="仿宋" w:eastAsia="仿宋"/>
          <w:sz w:val="32"/>
          <w:szCs w:val="32"/>
        </w:rPr>
        <w:t>符合《辽源市住房公积金</w:t>
      </w:r>
      <w:r>
        <w:rPr>
          <w:rFonts w:hint="eastAsia" w:ascii="仿宋" w:hAnsi="仿宋" w:eastAsia="仿宋"/>
          <w:sz w:val="32"/>
          <w:szCs w:val="32"/>
          <w:lang w:val="en-US" w:eastAsia="zh-CN"/>
        </w:rPr>
        <w:t>管理中心</w:t>
      </w:r>
      <w:r>
        <w:rPr>
          <w:rFonts w:hint="eastAsia" w:ascii="仿宋" w:hAnsi="仿宋" w:eastAsia="仿宋"/>
          <w:sz w:val="32"/>
          <w:szCs w:val="32"/>
        </w:rPr>
        <w:t>提取管理办法》和《辽源市住房公积金</w:t>
      </w:r>
      <w:r>
        <w:rPr>
          <w:rFonts w:hint="eastAsia" w:ascii="仿宋" w:hAnsi="仿宋" w:eastAsia="仿宋"/>
          <w:sz w:val="32"/>
          <w:szCs w:val="32"/>
          <w:lang w:val="en-US" w:eastAsia="zh-CN"/>
        </w:rPr>
        <w:t>管理中心</w:t>
      </w:r>
      <w:r>
        <w:rPr>
          <w:rFonts w:hint="eastAsia" w:ascii="仿宋" w:hAnsi="仿宋" w:eastAsia="仿宋"/>
          <w:sz w:val="32"/>
          <w:szCs w:val="32"/>
        </w:rPr>
        <w:t>贷款管理办法》</w:t>
      </w:r>
      <w:r>
        <w:rPr>
          <w:rFonts w:hint="eastAsia" w:ascii="仿宋" w:hAnsi="仿宋" w:eastAsia="仿宋"/>
          <w:sz w:val="32"/>
          <w:szCs w:val="32"/>
          <w:highlight w:val="none"/>
        </w:rPr>
        <w:t>中规定的情形</w:t>
      </w:r>
      <w:r>
        <w:rPr>
          <w:rFonts w:hint="eastAsia" w:ascii="仿宋" w:hAnsi="仿宋" w:eastAsia="仿宋"/>
          <w:sz w:val="32"/>
          <w:szCs w:val="32"/>
        </w:rPr>
        <w:t>，可以申请提取住房公积金、办理住房公积金贷款。</w:t>
      </w:r>
    </w:p>
    <w:p w14:paraId="5A3B96E5">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jc w:val="both"/>
        <w:textAlignment w:val="auto"/>
        <w:rPr>
          <w:rFonts w:ascii="仿宋" w:hAnsi="仿宋" w:eastAsia="仿宋"/>
          <w:sz w:val="32"/>
          <w:szCs w:val="32"/>
          <w:highlight w:val="none"/>
        </w:rPr>
      </w:pPr>
      <w:r>
        <w:rPr>
          <w:rFonts w:hint="eastAsia" w:ascii="仿宋" w:hAnsi="仿宋" w:eastAsia="仿宋"/>
          <w:b/>
          <w:bCs/>
          <w:sz w:val="32"/>
          <w:szCs w:val="32"/>
          <w:lang w:val="en-US" w:eastAsia="zh-CN"/>
        </w:rPr>
        <w:t>第三条</w:t>
      </w:r>
      <w:r>
        <w:rPr>
          <w:rFonts w:hint="eastAsia" w:ascii="仿宋" w:hAnsi="仿宋" w:eastAsia="仿宋"/>
          <w:b/>
          <w:bCs/>
          <w:sz w:val="32"/>
          <w:szCs w:val="32"/>
          <w:highlight w:val="none"/>
          <w:lang w:val="en-US" w:eastAsia="zh-CN"/>
        </w:rPr>
        <w:t xml:space="preserve"> </w:t>
      </w:r>
      <w:r>
        <w:rPr>
          <w:rFonts w:hint="eastAsia" w:ascii="仿宋" w:hAnsi="仿宋" w:eastAsia="仿宋"/>
          <w:sz w:val="32"/>
          <w:szCs w:val="32"/>
          <w:highlight w:val="none"/>
        </w:rPr>
        <w:t>缴存人有权查询本人住房公积金的缴存</w:t>
      </w:r>
      <w:r>
        <w:rPr>
          <w:rFonts w:hint="eastAsia" w:ascii="仿宋" w:hAnsi="仿宋" w:eastAsia="仿宋"/>
          <w:sz w:val="32"/>
          <w:szCs w:val="32"/>
          <w:highlight w:val="none"/>
          <w:lang w:val="en-US" w:eastAsia="zh-CN"/>
        </w:rPr>
        <w:t>、</w:t>
      </w:r>
      <w:r>
        <w:rPr>
          <w:rFonts w:hint="eastAsia" w:ascii="仿宋" w:hAnsi="仿宋" w:eastAsia="仿宋" w:cs="仿宋"/>
          <w:color w:val="auto"/>
          <w:sz w:val="32"/>
          <w:szCs w:val="32"/>
          <w:highlight w:val="none"/>
          <w:lang w:eastAsia="zh-CN"/>
        </w:rPr>
        <w:t>提取和贷款情况。</w:t>
      </w:r>
    </w:p>
    <w:p w14:paraId="47844A36">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jc w:val="both"/>
        <w:textAlignment w:val="auto"/>
        <w:rPr>
          <w:rFonts w:ascii="仿宋" w:hAnsi="仿宋" w:eastAsia="仿宋"/>
          <w:sz w:val="32"/>
          <w:szCs w:val="32"/>
        </w:rPr>
      </w:pPr>
      <w:r>
        <w:rPr>
          <w:rFonts w:hint="eastAsia" w:ascii="仿宋" w:hAnsi="仿宋" w:eastAsia="仿宋"/>
          <w:b/>
          <w:bCs/>
          <w:sz w:val="32"/>
          <w:szCs w:val="32"/>
          <w:lang w:val="en-US" w:eastAsia="zh-CN"/>
        </w:rPr>
        <w:t xml:space="preserve">第四条 </w:t>
      </w:r>
      <w:r>
        <w:rPr>
          <w:rFonts w:hint="eastAsia" w:ascii="仿宋" w:hAnsi="仿宋" w:eastAsia="仿宋"/>
          <w:sz w:val="32"/>
          <w:szCs w:val="32"/>
        </w:rPr>
        <w:t>缴存人自开户之日起，连续缴交至法定退休年龄。在此期间，若与单位签订劳动用工合同或被单位招录，需转移到新单位继续缴存。</w:t>
      </w:r>
    </w:p>
    <w:p w14:paraId="4E644EF4">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jc w:val="both"/>
        <w:textAlignment w:val="auto"/>
        <w:rPr>
          <w:rFonts w:ascii="仿宋" w:hAnsi="仿宋" w:eastAsia="仿宋"/>
          <w:sz w:val="32"/>
          <w:szCs w:val="32"/>
        </w:rPr>
      </w:pPr>
      <w:r>
        <w:rPr>
          <w:rFonts w:hint="eastAsia" w:ascii="仿宋" w:hAnsi="仿宋" w:eastAsia="仿宋"/>
          <w:b/>
          <w:bCs/>
          <w:sz w:val="32"/>
          <w:szCs w:val="32"/>
          <w:lang w:val="en-US" w:eastAsia="zh-CN"/>
        </w:rPr>
        <w:t xml:space="preserve">第五条 </w:t>
      </w:r>
      <w:r>
        <w:rPr>
          <w:rFonts w:hint="eastAsia" w:ascii="仿宋" w:hAnsi="仿宋" w:eastAsia="仿宋"/>
          <w:sz w:val="32"/>
          <w:szCs w:val="32"/>
        </w:rPr>
        <w:t>缴存人姓名、证件号码、联系电话等信息发生变更的，应自变更之日起</w:t>
      </w:r>
      <w:r>
        <w:rPr>
          <w:rFonts w:hint="eastAsia" w:ascii="仿宋" w:hAnsi="仿宋" w:eastAsia="仿宋"/>
          <w:sz w:val="32"/>
          <w:szCs w:val="32"/>
          <w:highlight w:val="none"/>
          <w:lang w:val="en-US" w:eastAsia="zh-CN"/>
        </w:rPr>
        <w:t>7个工作</w:t>
      </w:r>
      <w:r>
        <w:rPr>
          <w:rFonts w:hint="eastAsia" w:ascii="仿宋" w:hAnsi="仿宋" w:eastAsia="仿宋"/>
          <w:sz w:val="32"/>
          <w:szCs w:val="32"/>
          <w:highlight w:val="none"/>
        </w:rPr>
        <w:t>日</w:t>
      </w:r>
      <w:r>
        <w:rPr>
          <w:rFonts w:hint="eastAsia" w:ascii="仿宋" w:hAnsi="仿宋" w:eastAsia="仿宋"/>
          <w:sz w:val="32"/>
          <w:szCs w:val="32"/>
        </w:rPr>
        <w:t>内到市管理中心申请变更。未及时变更信息导致资金划转延误的，由缴存人承担相关责任。</w:t>
      </w:r>
    </w:p>
    <w:p w14:paraId="158B979F">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bCs/>
          <w:sz w:val="32"/>
          <w:szCs w:val="32"/>
          <w:lang w:val="en-US" w:eastAsia="zh-CN"/>
        </w:rPr>
        <w:t xml:space="preserve">第六条 </w:t>
      </w:r>
      <w:r>
        <w:rPr>
          <w:rFonts w:hint="eastAsia" w:ascii="仿宋" w:hAnsi="仿宋" w:eastAsia="仿宋"/>
          <w:b w:val="0"/>
          <w:bCs w:val="0"/>
          <w:sz w:val="32"/>
          <w:szCs w:val="32"/>
          <w:lang w:val="en-US" w:eastAsia="zh-CN"/>
        </w:rPr>
        <w:t>甲方选择以下缴存基数和比例按月缴存住房公积金：</w:t>
      </w:r>
    </w:p>
    <w:tbl>
      <w:tblPr>
        <w:tblStyle w:val="6"/>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0"/>
        <w:gridCol w:w="4833"/>
        <w:gridCol w:w="2113"/>
      </w:tblGrid>
      <w:tr w14:paraId="17924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110" w:type="dxa"/>
            <w:vAlign w:val="center"/>
          </w:tcPr>
          <w:p w14:paraId="05381B4A">
            <w:pPr>
              <w:keepNext/>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仿宋" w:hAnsi="仿宋" w:eastAsia="仿宋"/>
                <w:b/>
                <w:bCs/>
                <w:sz w:val="32"/>
                <w:szCs w:val="32"/>
                <w:vertAlign w:val="baseline"/>
                <w:lang w:val="en-US" w:eastAsia="zh-CN"/>
              </w:rPr>
            </w:pPr>
            <w:r>
              <w:rPr>
                <w:rFonts w:hint="eastAsia" w:ascii="仿宋" w:hAnsi="仿宋" w:eastAsia="仿宋"/>
                <w:b/>
                <w:bCs/>
                <w:sz w:val="32"/>
                <w:szCs w:val="32"/>
                <w:vertAlign w:val="baseline"/>
                <w:lang w:val="en-US" w:eastAsia="zh-CN"/>
              </w:rPr>
              <w:t>缴存基数</w:t>
            </w:r>
          </w:p>
        </w:tc>
        <w:tc>
          <w:tcPr>
            <w:tcW w:w="4833" w:type="dxa"/>
            <w:vAlign w:val="center"/>
          </w:tcPr>
          <w:p w14:paraId="2EEF06CA">
            <w:pPr>
              <w:keepNext/>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仿宋" w:hAnsi="仿宋" w:eastAsia="仿宋"/>
                <w:b/>
                <w:bCs/>
                <w:sz w:val="32"/>
                <w:szCs w:val="32"/>
                <w:vertAlign w:val="baseline"/>
                <w:lang w:val="en-US" w:eastAsia="zh-CN"/>
              </w:rPr>
            </w:pPr>
            <w:r>
              <w:rPr>
                <w:rFonts w:hint="eastAsia" w:ascii="仿宋" w:hAnsi="仿宋" w:eastAsia="仿宋"/>
                <w:b/>
                <w:bCs/>
                <w:sz w:val="32"/>
                <w:szCs w:val="32"/>
                <w:vertAlign w:val="baseline"/>
                <w:lang w:val="en-US" w:eastAsia="zh-CN"/>
              </w:rPr>
              <w:t>缴存比例（10%—24%）</w:t>
            </w:r>
          </w:p>
        </w:tc>
        <w:tc>
          <w:tcPr>
            <w:tcW w:w="2113" w:type="dxa"/>
            <w:vAlign w:val="center"/>
          </w:tcPr>
          <w:p w14:paraId="0FD31EA9">
            <w:pPr>
              <w:keepNext/>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仿宋" w:hAnsi="仿宋" w:eastAsia="仿宋"/>
                <w:b/>
                <w:bCs/>
                <w:sz w:val="32"/>
                <w:szCs w:val="32"/>
                <w:vertAlign w:val="baseline"/>
                <w:lang w:val="en-US" w:eastAsia="zh-CN"/>
              </w:rPr>
            </w:pPr>
            <w:r>
              <w:rPr>
                <w:rFonts w:hint="eastAsia" w:ascii="仿宋" w:hAnsi="仿宋" w:eastAsia="仿宋"/>
                <w:b/>
                <w:bCs/>
                <w:sz w:val="32"/>
                <w:szCs w:val="32"/>
                <w:vertAlign w:val="baseline"/>
                <w:lang w:val="en-US" w:eastAsia="zh-CN"/>
              </w:rPr>
              <w:t>月缴存额</w:t>
            </w:r>
          </w:p>
        </w:tc>
      </w:tr>
      <w:tr w14:paraId="32504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0" w:type="dxa"/>
            <w:vAlign w:val="center"/>
          </w:tcPr>
          <w:p w14:paraId="461FDBFC">
            <w:pPr>
              <w:keepNext/>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right"/>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b w:val="0"/>
                <w:bCs w:val="0"/>
                <w:sz w:val="32"/>
                <w:szCs w:val="32"/>
                <w:vertAlign w:val="baseline"/>
                <w:lang w:val="en-US" w:eastAsia="zh-CN"/>
              </w:rPr>
              <w:t>2000</w:t>
            </w:r>
            <w:r>
              <w:rPr>
                <w:rFonts w:hint="eastAsia" w:ascii="仿宋" w:hAnsi="仿宋" w:eastAsia="仿宋"/>
                <w:b w:val="0"/>
                <w:bCs w:val="0"/>
                <w:sz w:val="32"/>
                <w:szCs w:val="32"/>
                <w:vertAlign w:val="baseline"/>
                <w:lang w:val="en-US" w:eastAsia="zh-CN"/>
              </w:rPr>
              <w:sym w:font="Wingdings" w:char="00A8"/>
            </w:r>
          </w:p>
        </w:tc>
        <w:tc>
          <w:tcPr>
            <w:tcW w:w="4833" w:type="dxa"/>
            <w:vAlign w:val="center"/>
          </w:tcPr>
          <w:p w14:paraId="1F09CFAE">
            <w:pPr>
              <w:keepNext/>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b w:val="0"/>
                <w:bCs w:val="0"/>
                <w:sz w:val="32"/>
                <w:szCs w:val="32"/>
                <w:vertAlign w:val="baseline"/>
                <w:lang w:val="en-US" w:eastAsia="zh-CN"/>
              </w:rPr>
            </w:pPr>
          </w:p>
        </w:tc>
        <w:tc>
          <w:tcPr>
            <w:tcW w:w="2113" w:type="dxa"/>
            <w:vAlign w:val="center"/>
          </w:tcPr>
          <w:p w14:paraId="4804F97D">
            <w:pPr>
              <w:keepNext/>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b w:val="0"/>
                <w:bCs w:val="0"/>
                <w:sz w:val="32"/>
                <w:szCs w:val="32"/>
                <w:vertAlign w:val="baseline"/>
                <w:lang w:val="en-US" w:eastAsia="zh-CN"/>
              </w:rPr>
            </w:pPr>
          </w:p>
        </w:tc>
      </w:tr>
      <w:tr w14:paraId="58E22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0" w:type="dxa"/>
            <w:vAlign w:val="center"/>
          </w:tcPr>
          <w:p w14:paraId="184D5BFA">
            <w:pPr>
              <w:keepNext/>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right"/>
              <w:textAlignment w:val="auto"/>
              <w:rPr>
                <w:rFonts w:hint="default" w:ascii="仿宋" w:hAnsi="仿宋" w:eastAsia="仿宋"/>
                <w:b w:val="0"/>
                <w:bCs w:val="0"/>
                <w:sz w:val="32"/>
                <w:szCs w:val="32"/>
                <w:vertAlign w:val="baseline"/>
                <w:lang w:val="en-US" w:eastAsia="zh-CN"/>
              </w:rPr>
            </w:pPr>
            <w:r>
              <w:rPr>
                <w:rFonts w:hint="eastAsia" w:ascii="仿宋" w:hAnsi="仿宋" w:eastAsia="仿宋"/>
                <w:b w:val="0"/>
                <w:bCs w:val="0"/>
                <w:sz w:val="32"/>
                <w:szCs w:val="32"/>
                <w:vertAlign w:val="baseline"/>
                <w:lang w:val="en-US" w:eastAsia="zh-CN"/>
              </w:rPr>
              <w:t>4000</w:t>
            </w:r>
            <w:r>
              <w:rPr>
                <w:rFonts w:hint="eastAsia" w:ascii="仿宋" w:hAnsi="仿宋" w:eastAsia="仿宋"/>
                <w:b w:val="0"/>
                <w:bCs w:val="0"/>
                <w:sz w:val="32"/>
                <w:szCs w:val="32"/>
                <w:vertAlign w:val="baseline"/>
                <w:lang w:val="en-US" w:eastAsia="zh-CN"/>
              </w:rPr>
              <w:sym w:font="Wingdings" w:char="00A8"/>
            </w:r>
          </w:p>
        </w:tc>
        <w:tc>
          <w:tcPr>
            <w:tcW w:w="4833" w:type="dxa"/>
            <w:vAlign w:val="center"/>
          </w:tcPr>
          <w:p w14:paraId="3A3390C7">
            <w:pPr>
              <w:keepNext/>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b w:val="0"/>
                <w:bCs w:val="0"/>
                <w:sz w:val="32"/>
                <w:szCs w:val="32"/>
                <w:vertAlign w:val="baseline"/>
                <w:lang w:val="en-US" w:eastAsia="zh-CN"/>
              </w:rPr>
            </w:pPr>
          </w:p>
        </w:tc>
        <w:tc>
          <w:tcPr>
            <w:tcW w:w="2113" w:type="dxa"/>
            <w:vAlign w:val="center"/>
          </w:tcPr>
          <w:p w14:paraId="562531E9">
            <w:pPr>
              <w:keepNext/>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b w:val="0"/>
                <w:bCs w:val="0"/>
                <w:sz w:val="32"/>
                <w:szCs w:val="32"/>
                <w:vertAlign w:val="baseline"/>
                <w:lang w:val="en-US" w:eastAsia="zh-CN"/>
              </w:rPr>
            </w:pPr>
          </w:p>
        </w:tc>
      </w:tr>
      <w:tr w14:paraId="77787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0" w:type="dxa"/>
            <w:vAlign w:val="center"/>
          </w:tcPr>
          <w:p w14:paraId="09D623C8">
            <w:pPr>
              <w:keepNext/>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right"/>
              <w:textAlignment w:val="auto"/>
              <w:rPr>
                <w:rFonts w:hint="default" w:ascii="仿宋" w:hAnsi="仿宋" w:eastAsia="仿宋"/>
                <w:b w:val="0"/>
                <w:bCs w:val="0"/>
                <w:sz w:val="32"/>
                <w:szCs w:val="32"/>
                <w:vertAlign w:val="baseline"/>
                <w:lang w:val="en-US" w:eastAsia="zh-CN"/>
              </w:rPr>
            </w:pPr>
            <w:r>
              <w:rPr>
                <w:rFonts w:hint="eastAsia" w:ascii="仿宋" w:hAnsi="仿宋" w:eastAsia="仿宋"/>
                <w:b w:val="0"/>
                <w:bCs w:val="0"/>
                <w:sz w:val="32"/>
                <w:szCs w:val="32"/>
                <w:vertAlign w:val="baseline"/>
                <w:lang w:val="en-US" w:eastAsia="zh-CN"/>
              </w:rPr>
              <w:t>6000</w:t>
            </w:r>
            <w:r>
              <w:rPr>
                <w:rFonts w:hint="eastAsia" w:ascii="仿宋" w:hAnsi="仿宋" w:eastAsia="仿宋"/>
                <w:b w:val="0"/>
                <w:bCs w:val="0"/>
                <w:sz w:val="32"/>
                <w:szCs w:val="32"/>
                <w:vertAlign w:val="baseline"/>
                <w:lang w:val="en-US" w:eastAsia="zh-CN"/>
              </w:rPr>
              <w:sym w:font="Wingdings" w:char="00A8"/>
            </w:r>
          </w:p>
        </w:tc>
        <w:tc>
          <w:tcPr>
            <w:tcW w:w="4833" w:type="dxa"/>
            <w:vAlign w:val="center"/>
          </w:tcPr>
          <w:p w14:paraId="698DE42B">
            <w:pPr>
              <w:keepNext/>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b w:val="0"/>
                <w:bCs w:val="0"/>
                <w:sz w:val="32"/>
                <w:szCs w:val="32"/>
                <w:vertAlign w:val="baseline"/>
                <w:lang w:val="en-US" w:eastAsia="zh-CN"/>
              </w:rPr>
            </w:pPr>
          </w:p>
        </w:tc>
        <w:tc>
          <w:tcPr>
            <w:tcW w:w="2113" w:type="dxa"/>
            <w:vAlign w:val="center"/>
          </w:tcPr>
          <w:p w14:paraId="4B75F709">
            <w:pPr>
              <w:keepNext/>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b w:val="0"/>
                <w:bCs w:val="0"/>
                <w:sz w:val="32"/>
                <w:szCs w:val="32"/>
                <w:vertAlign w:val="baseline"/>
                <w:lang w:val="en-US" w:eastAsia="zh-CN"/>
              </w:rPr>
            </w:pPr>
          </w:p>
        </w:tc>
      </w:tr>
      <w:tr w14:paraId="2DE6F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0" w:type="dxa"/>
            <w:vAlign w:val="center"/>
          </w:tcPr>
          <w:p w14:paraId="65E71C12">
            <w:pPr>
              <w:keepNext/>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right"/>
              <w:textAlignment w:val="auto"/>
              <w:rPr>
                <w:rFonts w:hint="default" w:ascii="仿宋" w:hAnsi="仿宋" w:eastAsia="仿宋"/>
                <w:b w:val="0"/>
                <w:bCs w:val="0"/>
                <w:sz w:val="32"/>
                <w:szCs w:val="32"/>
                <w:vertAlign w:val="baseline"/>
                <w:lang w:val="en-US" w:eastAsia="zh-CN"/>
              </w:rPr>
            </w:pPr>
            <w:r>
              <w:rPr>
                <w:rFonts w:hint="eastAsia" w:ascii="仿宋" w:hAnsi="仿宋" w:eastAsia="仿宋"/>
                <w:b w:val="0"/>
                <w:bCs w:val="0"/>
                <w:sz w:val="32"/>
                <w:szCs w:val="32"/>
                <w:vertAlign w:val="baseline"/>
                <w:lang w:val="en-US" w:eastAsia="zh-CN"/>
              </w:rPr>
              <w:t>8000</w:t>
            </w:r>
            <w:r>
              <w:rPr>
                <w:rFonts w:hint="eastAsia" w:ascii="仿宋" w:hAnsi="仿宋" w:eastAsia="仿宋"/>
                <w:b w:val="0"/>
                <w:bCs w:val="0"/>
                <w:sz w:val="32"/>
                <w:szCs w:val="32"/>
                <w:vertAlign w:val="baseline"/>
                <w:lang w:val="en-US" w:eastAsia="zh-CN"/>
              </w:rPr>
              <w:sym w:font="Wingdings" w:char="00A8"/>
            </w:r>
          </w:p>
        </w:tc>
        <w:tc>
          <w:tcPr>
            <w:tcW w:w="4833" w:type="dxa"/>
            <w:vAlign w:val="center"/>
          </w:tcPr>
          <w:p w14:paraId="5C8A1830">
            <w:pPr>
              <w:keepNext/>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b w:val="0"/>
                <w:bCs w:val="0"/>
                <w:sz w:val="32"/>
                <w:szCs w:val="32"/>
                <w:vertAlign w:val="baseline"/>
                <w:lang w:val="en-US" w:eastAsia="zh-CN"/>
              </w:rPr>
            </w:pPr>
          </w:p>
        </w:tc>
        <w:tc>
          <w:tcPr>
            <w:tcW w:w="2113" w:type="dxa"/>
            <w:vAlign w:val="center"/>
          </w:tcPr>
          <w:p w14:paraId="2815D507">
            <w:pPr>
              <w:keepNext/>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b w:val="0"/>
                <w:bCs w:val="0"/>
                <w:sz w:val="32"/>
                <w:szCs w:val="32"/>
                <w:vertAlign w:val="baseline"/>
                <w:lang w:val="en-US" w:eastAsia="zh-CN"/>
              </w:rPr>
            </w:pPr>
          </w:p>
        </w:tc>
      </w:tr>
      <w:tr w14:paraId="6BA45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0" w:type="dxa"/>
            <w:vAlign w:val="center"/>
          </w:tcPr>
          <w:p w14:paraId="05930950">
            <w:pPr>
              <w:keepNext/>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right"/>
              <w:textAlignment w:val="auto"/>
              <w:rPr>
                <w:rFonts w:hint="default" w:ascii="仿宋" w:hAnsi="仿宋" w:eastAsia="仿宋"/>
                <w:b w:val="0"/>
                <w:bCs w:val="0"/>
                <w:sz w:val="32"/>
                <w:szCs w:val="32"/>
                <w:vertAlign w:val="baseline"/>
                <w:lang w:val="en-US" w:eastAsia="zh-CN"/>
              </w:rPr>
            </w:pPr>
            <w:r>
              <w:rPr>
                <w:rFonts w:hint="eastAsia" w:ascii="仿宋" w:hAnsi="仿宋" w:eastAsia="仿宋"/>
                <w:b w:val="0"/>
                <w:bCs w:val="0"/>
                <w:sz w:val="32"/>
                <w:szCs w:val="32"/>
                <w:vertAlign w:val="baseline"/>
                <w:lang w:val="en-US" w:eastAsia="zh-CN"/>
              </w:rPr>
              <w:t>10000</w:t>
            </w:r>
            <w:r>
              <w:rPr>
                <w:rFonts w:hint="eastAsia" w:ascii="仿宋" w:hAnsi="仿宋" w:eastAsia="仿宋"/>
                <w:b w:val="0"/>
                <w:bCs w:val="0"/>
                <w:sz w:val="32"/>
                <w:szCs w:val="32"/>
                <w:vertAlign w:val="baseline"/>
                <w:lang w:val="en-US" w:eastAsia="zh-CN"/>
              </w:rPr>
              <w:sym w:font="Wingdings" w:char="00A8"/>
            </w:r>
          </w:p>
        </w:tc>
        <w:tc>
          <w:tcPr>
            <w:tcW w:w="4833" w:type="dxa"/>
            <w:vAlign w:val="center"/>
          </w:tcPr>
          <w:p w14:paraId="4DB638AB">
            <w:pPr>
              <w:keepNext/>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b w:val="0"/>
                <w:bCs w:val="0"/>
                <w:sz w:val="32"/>
                <w:szCs w:val="32"/>
                <w:vertAlign w:val="baseline"/>
                <w:lang w:val="en-US" w:eastAsia="zh-CN"/>
              </w:rPr>
            </w:pPr>
          </w:p>
        </w:tc>
        <w:tc>
          <w:tcPr>
            <w:tcW w:w="2113" w:type="dxa"/>
            <w:vAlign w:val="center"/>
          </w:tcPr>
          <w:p w14:paraId="2AF82C12">
            <w:pPr>
              <w:keepNext/>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b w:val="0"/>
                <w:bCs w:val="0"/>
                <w:sz w:val="32"/>
                <w:szCs w:val="32"/>
                <w:vertAlign w:val="baseline"/>
                <w:lang w:val="en-US" w:eastAsia="zh-CN"/>
              </w:rPr>
            </w:pPr>
          </w:p>
        </w:tc>
      </w:tr>
    </w:tbl>
    <w:p w14:paraId="683F1080">
      <w:pPr>
        <w:rPr>
          <w:rFonts w:hint="eastAsia" w:ascii="仿宋" w:hAnsi="仿宋" w:eastAsia="仿宋" w:cs="仿宋"/>
          <w:sz w:val="32"/>
          <w:szCs w:val="32"/>
          <w:lang w:val="en-US" w:eastAsia="zh-CN"/>
        </w:rPr>
      </w:pPr>
    </w:p>
    <w:p w14:paraId="5BA01FC3">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cs="仿宋"/>
          <w:sz w:val="32"/>
          <w:szCs w:val="32"/>
          <w:lang w:val="en-US" w:eastAsia="zh-CN"/>
        </w:rPr>
        <w:t>甲方申请公积金贷款时，如需重新核定住房公积金缴存基数及缴存比例，可按照调整后的缴存基数核定其还款能力，</w:t>
      </w:r>
      <w:r>
        <w:rPr>
          <w:rFonts w:hint="eastAsia" w:ascii="仿宋" w:hAnsi="仿宋" w:eastAsia="仿宋"/>
          <w:sz w:val="32"/>
          <w:szCs w:val="32"/>
          <w:lang w:val="en-US" w:eastAsia="zh-CN"/>
        </w:rPr>
        <w:t>调整后月缴存额不得低于月还款额。</w:t>
      </w:r>
    </w:p>
    <w:p w14:paraId="75E9714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并按照下述规定执行：</w:t>
      </w:r>
    </w:p>
    <w:p w14:paraId="74B4A49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1.核定后缴存基数为：</w:t>
      </w:r>
      <w:r>
        <w:rPr>
          <w:rFonts w:hint="eastAsia" w:ascii="仿宋" w:hAnsi="仿宋" w:eastAsia="仿宋" w:cs="仿宋"/>
          <w:sz w:val="32"/>
          <w:szCs w:val="32"/>
          <w:u w:val="single"/>
          <w:lang w:val="en-US" w:eastAsia="zh-CN"/>
        </w:rPr>
        <w:t xml:space="preserve">         元</w:t>
      </w:r>
      <w:r>
        <w:rPr>
          <w:rFonts w:hint="eastAsia" w:ascii="仿宋" w:hAnsi="仿宋" w:eastAsia="仿宋" w:cs="仿宋"/>
          <w:sz w:val="32"/>
          <w:szCs w:val="32"/>
          <w:u w:val="none"/>
          <w:lang w:val="en-US" w:eastAsia="zh-CN"/>
        </w:rPr>
        <w:t>；</w:t>
      </w:r>
      <w:r>
        <w:rPr>
          <w:rFonts w:hint="eastAsia" w:ascii="仿宋" w:hAnsi="仿宋" w:eastAsia="仿宋" w:cs="仿宋"/>
          <w:sz w:val="32"/>
          <w:szCs w:val="32"/>
          <w:lang w:val="en-US" w:eastAsia="zh-CN"/>
        </w:rPr>
        <w:t>缴存比例为</w:t>
      </w:r>
      <w:r>
        <w:rPr>
          <w:rFonts w:hint="eastAsia" w:ascii="仿宋" w:hAnsi="仿宋" w:eastAsia="仿宋" w:cs="仿宋"/>
          <w:sz w:val="32"/>
          <w:szCs w:val="32"/>
          <w:u w:val="single"/>
          <w:lang w:val="en-US" w:eastAsia="zh-CN"/>
        </w:rPr>
        <w:t xml:space="preserve">       % </w:t>
      </w:r>
      <w:r>
        <w:rPr>
          <w:rFonts w:hint="eastAsia" w:ascii="仿宋" w:hAnsi="仿宋" w:eastAsia="仿宋" w:cs="仿宋"/>
          <w:sz w:val="32"/>
          <w:szCs w:val="32"/>
          <w:u w:val="none"/>
          <w:lang w:val="en-US" w:eastAsia="zh-CN"/>
        </w:rPr>
        <w:t xml:space="preserve"> </w:t>
      </w:r>
      <w:r>
        <w:rPr>
          <w:rFonts w:hint="eastAsia" w:ascii="仿宋" w:hAnsi="仿宋" w:eastAsia="仿宋" w:cs="仿宋"/>
          <w:sz w:val="32"/>
          <w:szCs w:val="32"/>
          <w:lang w:val="en-US" w:eastAsia="zh-CN"/>
        </w:rPr>
        <w:t>月缴存额为：</w:t>
      </w:r>
      <w:r>
        <w:rPr>
          <w:rFonts w:hint="eastAsia" w:ascii="仿宋" w:hAnsi="仿宋" w:eastAsia="仿宋" w:cs="仿宋"/>
          <w:sz w:val="32"/>
          <w:szCs w:val="32"/>
          <w:u w:val="single"/>
          <w:lang w:val="en-US" w:eastAsia="zh-CN"/>
        </w:rPr>
        <w:t xml:space="preserve">           元</w:t>
      </w:r>
      <w:r>
        <w:rPr>
          <w:rFonts w:hint="eastAsia" w:ascii="仿宋" w:hAnsi="仿宋" w:eastAsia="仿宋" w:cs="仿宋"/>
          <w:sz w:val="32"/>
          <w:szCs w:val="32"/>
          <w:u w:val="none"/>
          <w:lang w:val="en-US" w:eastAsia="zh-CN"/>
        </w:rPr>
        <w:t>。</w:t>
      </w:r>
      <w:r>
        <w:rPr>
          <w:rFonts w:hint="eastAsia" w:ascii="仿宋" w:hAnsi="仿宋" w:eastAsia="仿宋" w:cs="仿宋"/>
          <w:sz w:val="32"/>
          <w:szCs w:val="32"/>
          <w:lang w:val="en-US" w:eastAsia="zh-CN"/>
        </w:rPr>
        <w:t xml:space="preserve"> </w:t>
      </w:r>
    </w:p>
    <w:p w14:paraId="24E6972B">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2.自核定完成之日起，甲方需按变更后的缴存额连续足额缴存住房公积金。</w:t>
      </w:r>
    </w:p>
    <w:p w14:paraId="0E3DCB20">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3" w:firstLineChars="200"/>
        <w:jc w:val="both"/>
        <w:textAlignment w:val="auto"/>
        <w:rPr>
          <w:rFonts w:hint="eastAsia" w:ascii="仿宋" w:hAnsi="仿宋" w:eastAsia="仿宋"/>
          <w:sz w:val="32"/>
          <w:szCs w:val="32"/>
          <w:lang w:val="en-US" w:eastAsia="zh-CN"/>
        </w:rPr>
      </w:pPr>
      <w:r>
        <w:rPr>
          <w:rFonts w:hint="eastAsia" w:ascii="仿宋" w:hAnsi="仿宋" w:eastAsia="仿宋"/>
          <w:b/>
          <w:bCs/>
          <w:sz w:val="32"/>
          <w:szCs w:val="32"/>
          <w:lang w:val="en-US" w:eastAsia="zh-CN"/>
        </w:rPr>
        <w:t>第七条</w:t>
      </w:r>
      <w:r>
        <w:rPr>
          <w:rFonts w:hint="eastAsia" w:ascii="仿宋" w:hAnsi="仿宋" w:eastAsia="仿宋"/>
          <w:sz w:val="32"/>
          <w:szCs w:val="32"/>
          <w:lang w:val="en-US" w:eastAsia="zh-CN"/>
        </w:rPr>
        <w:t xml:space="preserve"> </w:t>
      </w:r>
      <w:r>
        <w:rPr>
          <w:rFonts w:hint="eastAsia" w:ascii="仿宋" w:hAnsi="仿宋" w:eastAsia="仿宋"/>
          <w:sz w:val="32"/>
          <w:szCs w:val="32"/>
        </w:rPr>
        <w:t>缴存基数标准和缴存比例确定后，一年内</w:t>
      </w:r>
      <w:r>
        <w:rPr>
          <w:rFonts w:hint="eastAsia" w:ascii="仿宋" w:hAnsi="仿宋" w:eastAsia="仿宋"/>
          <w:sz w:val="32"/>
          <w:szCs w:val="32"/>
          <w:lang w:val="en-US" w:eastAsia="zh-CN"/>
        </w:rPr>
        <w:t>允许调整一次，调整时需从新签订灵活就业人员缴存使用协议。</w:t>
      </w:r>
      <w:bookmarkStart w:id="0" w:name="_GoBack"/>
      <w:bookmarkEnd w:id="0"/>
    </w:p>
    <w:p w14:paraId="2B2D06A9">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3" w:firstLineChars="200"/>
        <w:jc w:val="both"/>
        <w:textAlignment w:val="auto"/>
        <w:rPr>
          <w:rFonts w:hint="eastAsia" w:ascii="仿宋" w:hAnsi="仿宋" w:eastAsia="仿宋"/>
          <w:sz w:val="32"/>
          <w:szCs w:val="32"/>
          <w:highlight w:val="yellow"/>
        </w:rPr>
      </w:pPr>
      <w:r>
        <w:rPr>
          <w:rFonts w:hint="eastAsia" w:ascii="仿宋" w:hAnsi="仿宋" w:eastAsia="仿宋"/>
          <w:b/>
          <w:bCs/>
          <w:sz w:val="32"/>
          <w:szCs w:val="32"/>
          <w:lang w:val="en-US" w:eastAsia="zh-CN"/>
        </w:rPr>
        <w:t xml:space="preserve">第八条 </w:t>
      </w:r>
      <w:r>
        <w:rPr>
          <w:rFonts w:hint="eastAsia" w:ascii="仿宋" w:hAnsi="仿宋" w:eastAsia="仿宋"/>
          <w:sz w:val="32"/>
          <w:szCs w:val="32"/>
          <w:highlight w:val="none"/>
        </w:rPr>
        <w:t>缴存人提供其在</w:t>
      </w:r>
      <w:r>
        <w:rPr>
          <w:rFonts w:hint="eastAsia" w:ascii="仿宋" w:hAnsi="仿宋" w:eastAsia="仿宋"/>
          <w:sz w:val="32"/>
          <w:szCs w:val="32"/>
          <w:highlight w:val="none"/>
          <w:lang w:val="en-US" w:eastAsia="zh-CN"/>
        </w:rPr>
        <w:t>中国建设银行</w:t>
      </w:r>
      <w:r>
        <w:rPr>
          <w:rFonts w:hint="eastAsia" w:ascii="仿宋" w:hAnsi="仿宋" w:eastAsia="仿宋"/>
          <w:sz w:val="32"/>
          <w:szCs w:val="32"/>
          <w:highlight w:val="none"/>
        </w:rPr>
        <w:t>开立的</w:t>
      </w:r>
      <w:r>
        <w:rPr>
          <w:rFonts w:hint="eastAsia" w:ascii="仿宋" w:hAnsi="仿宋" w:eastAsia="仿宋"/>
          <w:sz w:val="32"/>
          <w:szCs w:val="32"/>
          <w:highlight w:val="none"/>
          <w:lang w:val="en-US" w:eastAsia="zh-CN"/>
        </w:rPr>
        <w:t>一类</w:t>
      </w:r>
      <w:r>
        <w:rPr>
          <w:rFonts w:hint="eastAsia" w:ascii="仿宋" w:hAnsi="仿宋" w:eastAsia="仿宋"/>
          <w:sz w:val="32"/>
          <w:szCs w:val="32"/>
          <w:highlight w:val="none"/>
        </w:rPr>
        <w:t>借记卡</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已开通公积金缴存业务</w:t>
      </w:r>
      <w:r>
        <w:rPr>
          <w:rFonts w:hint="eastAsia" w:ascii="仿宋" w:hAnsi="仿宋" w:eastAsia="仿宋"/>
          <w:sz w:val="32"/>
          <w:szCs w:val="32"/>
          <w:highlight w:val="none"/>
          <w:lang w:eastAsia="zh-CN"/>
        </w:rPr>
        <w:t>）</w:t>
      </w:r>
      <w:r>
        <w:rPr>
          <w:rFonts w:hint="eastAsia" w:ascii="仿宋" w:hAnsi="仿宋" w:eastAsia="仿宋"/>
          <w:sz w:val="32"/>
          <w:szCs w:val="32"/>
          <w:highlight w:val="none"/>
        </w:rPr>
        <w:t>。</w:t>
      </w:r>
    </w:p>
    <w:p w14:paraId="55CED406">
      <w:pPr>
        <w:keepNext w:val="0"/>
        <w:keepLines w:val="0"/>
        <w:pageBreakBefore w:val="0"/>
        <w:widowControl/>
        <w:kinsoku/>
        <w:wordWrap/>
        <w:overflowPunct/>
        <w:topLinePunct w:val="0"/>
        <w:autoSpaceDE/>
        <w:autoSpaceDN/>
        <w:bidi w:val="0"/>
        <w:adjustRightInd w:val="0"/>
        <w:snapToGrid w:val="0"/>
        <w:spacing w:line="576" w:lineRule="exact"/>
        <w:textAlignment w:val="auto"/>
        <w:rPr>
          <w:rFonts w:ascii="仿宋" w:hAnsi="仿宋" w:eastAsia="仿宋"/>
          <w:sz w:val="32"/>
          <w:szCs w:val="32"/>
        </w:rPr>
      </w:pPr>
      <w:r>
        <w:rPr>
          <w:rFonts w:hint="eastAsia" w:ascii="仿宋" w:hAnsi="仿宋" w:eastAsia="仿宋"/>
          <w:sz w:val="32"/>
          <w:szCs w:val="32"/>
        </w:rPr>
        <w:t>借记卡号：</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 xml:space="preserve"> </w:t>
      </w:r>
      <w:r>
        <w:rPr>
          <w:rFonts w:hint="eastAsia" w:ascii="仿宋" w:hAnsi="仿宋" w:eastAsia="仿宋"/>
          <w:sz w:val="32"/>
          <w:szCs w:val="32"/>
        </w:rPr>
        <w:t>账户姓名</w:t>
      </w:r>
      <w:r>
        <w:rPr>
          <w:rFonts w:hint="eastAsia" w:ascii="仿宋" w:hAnsi="仿宋" w:eastAsia="仿宋"/>
          <w:sz w:val="32"/>
          <w:szCs w:val="32"/>
          <w:lang w:eastAsia="zh-CN"/>
        </w:rPr>
        <w:t>：</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 xml:space="preserve"> </w:t>
      </w:r>
      <w:r>
        <w:rPr>
          <w:rFonts w:hint="eastAsia" w:ascii="仿宋" w:hAnsi="仿宋" w:eastAsia="仿宋" w:cs="仿宋"/>
          <w:sz w:val="32"/>
          <w:szCs w:val="32"/>
        </w:rPr>
        <w:t>开户行：</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thick"/>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sz w:val="32"/>
          <w:szCs w:val="32"/>
          <w:u w:val="single"/>
          <w:lang w:val="en-US" w:eastAsia="zh-CN"/>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u w:val="single"/>
        </w:rPr>
        <w:t xml:space="preserve">                            </w:t>
      </w:r>
    </w:p>
    <w:p w14:paraId="0B34776B">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jc w:val="both"/>
        <w:textAlignment w:val="auto"/>
        <w:rPr>
          <w:rFonts w:ascii="仿宋" w:hAnsi="仿宋" w:eastAsia="仿宋"/>
          <w:sz w:val="32"/>
          <w:szCs w:val="32"/>
        </w:rPr>
      </w:pPr>
      <w:r>
        <w:rPr>
          <w:rFonts w:hint="eastAsia" w:ascii="仿宋" w:hAnsi="仿宋" w:eastAsia="仿宋"/>
          <w:b/>
          <w:bCs/>
          <w:sz w:val="32"/>
          <w:szCs w:val="32"/>
          <w:lang w:val="en-US" w:eastAsia="zh-CN"/>
        </w:rPr>
        <w:t xml:space="preserve">第九条 </w:t>
      </w:r>
      <w:r>
        <w:rPr>
          <w:rFonts w:hint="eastAsia" w:ascii="仿宋" w:hAnsi="仿宋" w:eastAsia="仿宋"/>
          <w:sz w:val="32"/>
          <w:szCs w:val="32"/>
        </w:rPr>
        <w:t>缴存人的缴款账户一经确认，原则上不得随意变更。如因故需变更缴款账户，缴存人应在变更当月25日前到市管理中心申请变更。未及时办理变更手续，导致市管理中心不能及时、足额划款的，由缴存人个人承担相关责任。</w:t>
      </w:r>
    </w:p>
    <w:p w14:paraId="02F0B7BA">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lang w:val="en-US" w:eastAsia="zh-CN"/>
        </w:rPr>
        <w:t xml:space="preserve">第十条 </w:t>
      </w:r>
      <w:r>
        <w:rPr>
          <w:rFonts w:hint="eastAsia" w:ascii="仿宋" w:hAnsi="仿宋" w:eastAsia="仿宋"/>
          <w:sz w:val="32"/>
          <w:szCs w:val="32"/>
        </w:rPr>
        <w:t>缴存人开户后必须于每月25日之前将所缴款项足额存入缴款账户。</w:t>
      </w:r>
    </w:p>
    <w:p w14:paraId="3D442D2D">
      <w:pPr>
        <w:adjustRightInd w:val="0"/>
        <w:snapToGrid w:val="0"/>
        <w:spacing w:line="576" w:lineRule="exact"/>
        <w:ind w:firstLine="643" w:firstLineChars="200"/>
        <w:jc w:val="both"/>
        <w:rPr>
          <w:rFonts w:hint="eastAsia" w:ascii="仿宋" w:hAnsi="仿宋" w:eastAsia="仿宋" w:cs="仿宋"/>
          <w:color w:val="auto"/>
          <w:sz w:val="32"/>
          <w:szCs w:val="32"/>
          <w:highlight w:val="none"/>
          <w:lang w:val="en-US" w:eastAsia="zh-CN"/>
        </w:rPr>
      </w:pPr>
      <w:r>
        <w:rPr>
          <w:rFonts w:hint="eastAsia" w:ascii="仿宋" w:hAnsi="仿宋" w:eastAsia="仿宋"/>
          <w:b/>
          <w:bCs/>
          <w:sz w:val="32"/>
          <w:szCs w:val="32"/>
          <w:lang w:val="en-US" w:eastAsia="zh-CN"/>
        </w:rPr>
        <w:t>第十一条</w:t>
      </w:r>
      <w:r>
        <w:rPr>
          <w:rFonts w:hint="eastAsia" w:ascii="仿宋" w:hAnsi="仿宋" w:eastAsia="仿宋"/>
          <w:b/>
          <w:bCs/>
          <w:sz w:val="32"/>
          <w:szCs w:val="32"/>
          <w:highlight w:val="none"/>
          <w:lang w:val="en-US" w:eastAsia="zh-CN"/>
        </w:rPr>
        <w:t xml:space="preserve"> </w:t>
      </w:r>
      <w:r>
        <w:rPr>
          <w:rFonts w:hint="eastAsia" w:ascii="仿宋" w:hAnsi="仿宋" w:eastAsia="仿宋"/>
          <w:sz w:val="32"/>
          <w:szCs w:val="32"/>
          <w:highlight w:val="none"/>
        </w:rPr>
        <w:t>缴存人不能正常缴存住房公积金的，可以申请封存个人住房公积金账户。因个人原因连续3个月</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含</w:t>
      </w:r>
      <w:r>
        <w:rPr>
          <w:rFonts w:hint="eastAsia" w:ascii="仿宋" w:hAnsi="仿宋" w:eastAsia="仿宋"/>
          <w:sz w:val="32"/>
          <w:szCs w:val="32"/>
          <w:highlight w:val="none"/>
          <w:lang w:eastAsia="zh-CN"/>
        </w:rPr>
        <w:t>）</w:t>
      </w:r>
      <w:r>
        <w:rPr>
          <w:rFonts w:hint="eastAsia" w:ascii="仿宋" w:hAnsi="仿宋" w:eastAsia="仿宋"/>
          <w:sz w:val="32"/>
          <w:szCs w:val="32"/>
          <w:highlight w:val="none"/>
        </w:rPr>
        <w:t>未及时、足额缴存住房公积金的，账户将自动封存。</w:t>
      </w:r>
      <w:r>
        <w:rPr>
          <w:rFonts w:hint="eastAsia" w:ascii="仿宋" w:hAnsi="仿宋" w:eastAsia="仿宋" w:cs="仿宋"/>
          <w:sz w:val="32"/>
          <w:szCs w:val="32"/>
          <w:highlight w:val="none"/>
        </w:rPr>
        <w:t>若未按照约定时间缴存住房公积金，</w:t>
      </w:r>
      <w:r>
        <w:rPr>
          <w:rFonts w:hint="eastAsia" w:ascii="仿宋" w:hAnsi="仿宋" w:eastAsia="仿宋" w:cs="仿宋"/>
          <w:sz w:val="32"/>
          <w:szCs w:val="32"/>
        </w:rPr>
        <w:t>可申请补缴并重新签订协议</w:t>
      </w:r>
      <w:r>
        <w:rPr>
          <w:rFonts w:hint="eastAsia" w:ascii="仿宋" w:hAnsi="仿宋" w:eastAsia="仿宋" w:cs="仿宋"/>
          <w:sz w:val="32"/>
          <w:szCs w:val="32"/>
          <w:highlight w:val="none"/>
        </w:rPr>
        <w:t>。连续欠缴6个月（含）以上，同时无未结清住房公积金贷款的，视为退出缴存，《协议》自动解除，且可提取住房公积金账户内余额并注销其个人账户。</w:t>
      </w:r>
      <w:r>
        <w:rPr>
          <w:rFonts w:hint="eastAsia" w:ascii="仿宋" w:hAnsi="仿宋" w:eastAsia="仿宋" w:cs="仿宋"/>
          <w:color w:val="auto"/>
          <w:sz w:val="32"/>
          <w:szCs w:val="32"/>
          <w:highlight w:val="none"/>
          <w:lang w:val="en-US" w:eastAsia="zh-CN"/>
        </w:rPr>
        <w:t>甲方办理销户提取后，再次申请开设住房公积金个人账户的，间隔时间应不少于6个月（含）。</w:t>
      </w:r>
    </w:p>
    <w:p w14:paraId="3778023B">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lang w:val="en-US" w:eastAsia="zh-CN"/>
        </w:rPr>
        <w:t xml:space="preserve">第十二条 </w:t>
      </w:r>
      <w:r>
        <w:rPr>
          <w:rFonts w:hint="eastAsia" w:ascii="仿宋" w:hAnsi="仿宋" w:eastAsia="仿宋"/>
          <w:sz w:val="32"/>
          <w:szCs w:val="32"/>
        </w:rPr>
        <w:t>缴存人在办理公积金业务中出具虚假相关材料的，一经市管理中心查实，将对提供虚假材料的缴存人停止所有公积金相关业务并纳入诚信档案管理。申请住房公积金贷款的，未发放贷款的不予发放，已发放贷款的提前全部收回。涉嫌违法的，市管理中心将移交司法机关处理。</w:t>
      </w:r>
    </w:p>
    <w:p w14:paraId="079B3C46">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 w:hAnsi="仿宋" w:eastAsia="仿宋"/>
          <w:sz w:val="32"/>
          <w:szCs w:val="32"/>
        </w:rPr>
      </w:pPr>
    </w:p>
    <w:p w14:paraId="239C6B64">
      <w:pPr>
        <w:keepNext w:val="0"/>
        <w:keepLines w:val="0"/>
        <w:pageBreakBefore w:val="0"/>
        <w:widowControl/>
        <w:kinsoku/>
        <w:wordWrap/>
        <w:overflowPunct/>
        <w:topLinePunct w:val="0"/>
        <w:autoSpaceDE/>
        <w:autoSpaceDN/>
        <w:bidi w:val="0"/>
        <w:adjustRightInd w:val="0"/>
        <w:snapToGrid w:val="0"/>
        <w:spacing w:line="576" w:lineRule="exact"/>
        <w:ind w:left="645"/>
        <w:jc w:val="center"/>
        <w:textAlignment w:val="auto"/>
        <w:rPr>
          <w:rFonts w:hint="eastAsia" w:ascii="黑体" w:hAnsi="黑体" w:eastAsia="黑体" w:cs="黑体"/>
          <w:b/>
          <w:sz w:val="32"/>
          <w:szCs w:val="32"/>
        </w:rPr>
      </w:pPr>
      <w:r>
        <w:rPr>
          <w:rFonts w:hint="eastAsia" w:ascii="黑体" w:hAnsi="黑体" w:eastAsia="黑体" w:cs="黑体"/>
          <w:b/>
          <w:sz w:val="32"/>
          <w:szCs w:val="32"/>
        </w:rPr>
        <w:t>二、市管理中心的权利</w:t>
      </w:r>
      <w:r>
        <w:rPr>
          <w:rFonts w:hint="eastAsia" w:ascii="黑体" w:hAnsi="黑体" w:eastAsia="黑体" w:cs="黑体"/>
          <w:b/>
          <w:sz w:val="32"/>
          <w:szCs w:val="32"/>
          <w:lang w:val="en-US" w:eastAsia="zh-CN"/>
        </w:rPr>
        <w:t>和</w:t>
      </w:r>
      <w:r>
        <w:rPr>
          <w:rFonts w:hint="eastAsia" w:ascii="黑体" w:hAnsi="黑体" w:eastAsia="黑体" w:cs="黑体"/>
          <w:b/>
          <w:sz w:val="32"/>
          <w:szCs w:val="32"/>
        </w:rPr>
        <w:t>义务</w:t>
      </w:r>
    </w:p>
    <w:p w14:paraId="39F81D8F">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jc w:val="both"/>
        <w:textAlignment w:val="auto"/>
        <w:rPr>
          <w:rFonts w:ascii="仿宋" w:hAnsi="仿宋" w:eastAsia="仿宋"/>
          <w:sz w:val="32"/>
          <w:szCs w:val="32"/>
        </w:rPr>
      </w:pPr>
      <w:r>
        <w:rPr>
          <w:rFonts w:hint="eastAsia" w:ascii="仿宋" w:hAnsi="仿宋" w:eastAsia="仿宋"/>
          <w:b/>
          <w:bCs/>
          <w:sz w:val="32"/>
          <w:szCs w:val="32"/>
          <w:lang w:val="en-US" w:eastAsia="zh-CN"/>
        </w:rPr>
        <w:t xml:space="preserve">第十三条 </w:t>
      </w:r>
      <w:r>
        <w:rPr>
          <w:rFonts w:hint="eastAsia" w:ascii="仿宋" w:hAnsi="仿宋" w:eastAsia="仿宋"/>
          <w:sz w:val="32"/>
          <w:szCs w:val="32"/>
        </w:rPr>
        <w:t>缴存人每月缴存的住房公积金由市管理中心统一托收。</w:t>
      </w:r>
    </w:p>
    <w:p w14:paraId="60DCDE30">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jc w:val="both"/>
        <w:textAlignment w:val="auto"/>
        <w:rPr>
          <w:rFonts w:ascii="仿宋" w:hAnsi="仿宋" w:eastAsia="仿宋"/>
          <w:sz w:val="32"/>
          <w:szCs w:val="32"/>
        </w:rPr>
      </w:pPr>
      <w:r>
        <w:rPr>
          <w:rFonts w:hint="eastAsia" w:ascii="仿宋" w:hAnsi="仿宋" w:eastAsia="仿宋"/>
          <w:b/>
          <w:bCs/>
          <w:sz w:val="32"/>
          <w:szCs w:val="32"/>
          <w:lang w:val="en-US" w:eastAsia="zh-CN"/>
        </w:rPr>
        <w:t xml:space="preserve">第十四条 </w:t>
      </w:r>
      <w:r>
        <w:rPr>
          <w:rFonts w:hint="eastAsia" w:ascii="仿宋" w:hAnsi="仿宋" w:eastAsia="仿宋"/>
          <w:sz w:val="32"/>
          <w:szCs w:val="32"/>
        </w:rPr>
        <w:t>住房公积金缴存基数标准每年调整一次。</w:t>
      </w:r>
    </w:p>
    <w:p w14:paraId="7172AF77">
      <w:pPr>
        <w:pStyle w:val="4"/>
        <w:keepNext w:val="0"/>
        <w:keepLines w:val="0"/>
        <w:pageBreakBefore w:val="0"/>
        <w:widowControl/>
        <w:kinsoku/>
        <w:wordWrap/>
        <w:overflowPunct/>
        <w:topLinePunct w:val="0"/>
        <w:autoSpaceDE/>
        <w:autoSpaceDN/>
        <w:bidi w:val="0"/>
        <w:adjustRightInd w:val="0"/>
        <w:snapToGrid w:val="0"/>
        <w:spacing w:beforeAutospacing="0" w:afterAutospacing="0" w:line="576" w:lineRule="exact"/>
        <w:ind w:firstLine="643" w:firstLineChars="200"/>
        <w:jc w:val="both"/>
        <w:textAlignment w:val="auto"/>
        <w:rPr>
          <w:rFonts w:ascii="仿宋" w:hAnsi="仿宋" w:eastAsia="仿宋"/>
          <w:sz w:val="32"/>
          <w:szCs w:val="32"/>
          <w:highlight w:val="none"/>
        </w:rPr>
      </w:pPr>
      <w:r>
        <w:rPr>
          <w:rFonts w:hint="eastAsia" w:ascii="仿宋" w:hAnsi="仿宋" w:eastAsia="仿宋"/>
          <w:b/>
          <w:bCs/>
          <w:sz w:val="32"/>
          <w:szCs w:val="32"/>
          <w:lang w:val="en-US" w:eastAsia="zh-CN"/>
        </w:rPr>
        <w:t xml:space="preserve">第十五条 </w:t>
      </w:r>
      <w:r>
        <w:rPr>
          <w:rFonts w:hint="eastAsia" w:ascii="仿宋" w:hAnsi="仿宋" w:eastAsia="仿宋"/>
          <w:sz w:val="32"/>
          <w:szCs w:val="32"/>
          <w:highlight w:val="none"/>
        </w:rPr>
        <w:t>缴存人因个人原因连续3个月</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含</w:t>
      </w:r>
      <w:r>
        <w:rPr>
          <w:rFonts w:hint="eastAsia" w:ascii="仿宋" w:hAnsi="仿宋" w:eastAsia="仿宋"/>
          <w:sz w:val="32"/>
          <w:szCs w:val="32"/>
          <w:highlight w:val="none"/>
          <w:lang w:eastAsia="zh-CN"/>
        </w:rPr>
        <w:t>）</w:t>
      </w:r>
      <w:r>
        <w:rPr>
          <w:rFonts w:hint="eastAsia" w:ascii="仿宋" w:hAnsi="仿宋" w:eastAsia="仿宋"/>
          <w:sz w:val="32"/>
          <w:szCs w:val="32"/>
          <w:highlight w:val="none"/>
        </w:rPr>
        <w:t>未及时、足额缴存住房公积金的，市管理中心将对其住房公积金账户予以暂停托收。缴存人如注销住房公积金账户，本协议即自行终止。</w:t>
      </w:r>
      <w:r>
        <w:rPr>
          <w:rFonts w:hint="eastAsia" w:ascii="仿宋" w:hAnsi="仿宋" w:eastAsia="仿宋" w:cs="仿宋"/>
          <w:spacing w:val="7"/>
          <w:sz w:val="32"/>
          <w:szCs w:val="32"/>
          <w:highlight w:val="none"/>
          <w:lang w:val="en-US" w:eastAsia="zh-CN"/>
        </w:rPr>
        <w:t>缴存人</w:t>
      </w:r>
      <w:r>
        <w:rPr>
          <w:rFonts w:hint="eastAsia" w:ascii="仿宋" w:hAnsi="仿宋" w:eastAsia="仿宋" w:cs="仿宋"/>
          <w:spacing w:val="7"/>
          <w:sz w:val="32"/>
          <w:szCs w:val="32"/>
          <w:highlight w:val="none"/>
        </w:rPr>
        <w:t>自个人账户注销之日起满6个月后，符合条件的可再次</w:t>
      </w:r>
      <w:r>
        <w:rPr>
          <w:rFonts w:hint="eastAsia" w:ascii="仿宋" w:hAnsi="仿宋" w:eastAsia="仿宋" w:cs="仿宋"/>
          <w:spacing w:val="7"/>
          <w:sz w:val="32"/>
          <w:szCs w:val="32"/>
          <w:highlight w:val="none"/>
          <w:lang w:val="en-US" w:eastAsia="zh-CN"/>
        </w:rPr>
        <w:t>申请</w:t>
      </w:r>
      <w:r>
        <w:rPr>
          <w:rFonts w:hint="eastAsia" w:ascii="仿宋" w:hAnsi="仿宋" w:eastAsia="仿宋" w:cs="仿宋"/>
          <w:spacing w:val="7"/>
          <w:sz w:val="32"/>
          <w:szCs w:val="32"/>
          <w:highlight w:val="none"/>
        </w:rPr>
        <w:t>灵活就业人员缴存账户。</w:t>
      </w:r>
    </w:p>
    <w:p w14:paraId="4321E358">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lang w:val="en-US" w:eastAsia="zh-CN"/>
        </w:rPr>
        <w:t xml:space="preserve">第十六条 </w:t>
      </w:r>
      <w:r>
        <w:rPr>
          <w:rFonts w:hint="eastAsia" w:ascii="仿宋" w:hAnsi="仿宋" w:eastAsia="仿宋"/>
          <w:sz w:val="32"/>
          <w:szCs w:val="32"/>
        </w:rPr>
        <w:t>市管理中心不得擅自从缴存人账户中划转资金，由此所造成的损失由市管理中心承担。</w:t>
      </w:r>
    </w:p>
    <w:p w14:paraId="71DB5BB2">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jc w:val="both"/>
        <w:textAlignment w:val="auto"/>
        <w:rPr>
          <w:rFonts w:ascii="仿宋" w:hAnsi="仿宋" w:eastAsia="仿宋"/>
          <w:sz w:val="32"/>
          <w:szCs w:val="32"/>
        </w:rPr>
      </w:pPr>
      <w:r>
        <w:rPr>
          <w:rFonts w:hint="eastAsia" w:ascii="仿宋" w:hAnsi="仿宋" w:eastAsia="仿宋"/>
          <w:b/>
          <w:bCs/>
          <w:sz w:val="32"/>
          <w:szCs w:val="32"/>
          <w:lang w:val="en-US" w:eastAsia="zh-CN"/>
        </w:rPr>
        <w:t xml:space="preserve">第十七条 </w:t>
      </w:r>
      <w:r>
        <w:rPr>
          <w:rFonts w:hint="eastAsia" w:ascii="仿宋" w:hAnsi="仿宋" w:eastAsia="仿宋"/>
          <w:sz w:val="32"/>
          <w:szCs w:val="32"/>
        </w:rPr>
        <w:t>市管理中心多划缴存人账户资金的，责任由市管理中心承担。</w:t>
      </w:r>
    </w:p>
    <w:p w14:paraId="79B7B95F">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jc w:val="both"/>
        <w:textAlignment w:val="auto"/>
        <w:rPr>
          <w:rFonts w:ascii="仿宋" w:hAnsi="仿宋" w:eastAsia="仿宋"/>
          <w:sz w:val="32"/>
          <w:szCs w:val="32"/>
          <w:highlight w:val="none"/>
        </w:rPr>
      </w:pPr>
      <w:r>
        <w:rPr>
          <w:rFonts w:hint="eastAsia" w:ascii="仿宋" w:hAnsi="仿宋" w:eastAsia="仿宋"/>
          <w:b/>
          <w:bCs/>
          <w:sz w:val="32"/>
          <w:szCs w:val="32"/>
          <w:highlight w:val="none"/>
          <w:lang w:val="en-US" w:eastAsia="zh-CN"/>
        </w:rPr>
        <w:t xml:space="preserve">第十八条 </w:t>
      </w:r>
      <w:r>
        <w:rPr>
          <w:rFonts w:hint="eastAsia" w:ascii="仿宋" w:hAnsi="仿宋" w:eastAsia="仿宋"/>
          <w:sz w:val="32"/>
          <w:szCs w:val="32"/>
          <w:highlight w:val="none"/>
        </w:rPr>
        <w:t>缴存人有权查询本人住房公积金的缴存</w:t>
      </w:r>
      <w:r>
        <w:rPr>
          <w:rFonts w:hint="eastAsia" w:ascii="仿宋" w:hAnsi="仿宋" w:eastAsia="仿宋"/>
          <w:sz w:val="32"/>
          <w:szCs w:val="32"/>
          <w:highlight w:val="none"/>
          <w:lang w:val="en-US" w:eastAsia="zh-CN"/>
        </w:rPr>
        <w:t>、提取、贷款等</w:t>
      </w:r>
      <w:r>
        <w:rPr>
          <w:rFonts w:hint="eastAsia" w:ascii="仿宋" w:hAnsi="仿宋" w:eastAsia="仿宋"/>
          <w:sz w:val="32"/>
          <w:szCs w:val="32"/>
          <w:highlight w:val="none"/>
        </w:rPr>
        <w:t>情况，市管理中心应予配合。</w:t>
      </w:r>
    </w:p>
    <w:p w14:paraId="047CD092">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jc w:val="both"/>
        <w:textAlignment w:val="auto"/>
        <w:rPr>
          <w:rFonts w:hint="eastAsia" w:ascii="仿宋" w:hAnsi="仿宋" w:eastAsia="仿宋"/>
          <w:sz w:val="32"/>
          <w:szCs w:val="32"/>
        </w:rPr>
      </w:pPr>
      <w:r>
        <w:rPr>
          <w:rFonts w:hint="eastAsia" w:ascii="仿宋" w:hAnsi="仿宋" w:eastAsia="仿宋"/>
          <w:b/>
          <w:bCs/>
          <w:sz w:val="32"/>
          <w:szCs w:val="32"/>
          <w:lang w:val="en-US" w:eastAsia="zh-CN"/>
        </w:rPr>
        <w:t xml:space="preserve">第十九条 </w:t>
      </w:r>
      <w:r>
        <w:rPr>
          <w:rFonts w:hint="eastAsia" w:ascii="仿宋" w:hAnsi="仿宋" w:eastAsia="仿宋"/>
          <w:sz w:val="32"/>
          <w:szCs w:val="32"/>
        </w:rPr>
        <w:t>市管理中心的相关工作人员应对缴存人的住房公积金账户信息保密。</w:t>
      </w:r>
    </w:p>
    <w:p w14:paraId="69708F02">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jc w:val="both"/>
        <w:textAlignment w:val="auto"/>
        <w:rPr>
          <w:rFonts w:hint="eastAsia" w:ascii="黑体" w:hAnsi="黑体" w:eastAsia="黑体" w:cs="黑体"/>
          <w:b/>
          <w:bCs/>
          <w:sz w:val="32"/>
          <w:szCs w:val="32"/>
          <w:lang w:val="en-US" w:eastAsia="zh-CN"/>
        </w:rPr>
      </w:pPr>
      <w:r>
        <w:rPr>
          <w:rFonts w:hint="eastAsia" w:ascii="仿宋" w:hAnsi="仿宋" w:eastAsia="仿宋" w:cs="仿宋"/>
          <w:b/>
          <w:bCs/>
          <w:sz w:val="32"/>
          <w:szCs w:val="32"/>
          <w:highlight w:val="none"/>
          <w:lang w:val="en-US" w:eastAsia="zh-CN"/>
        </w:rPr>
        <w:t>第二十条</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按照国家规定的利率计算甲方缴存的住房公积金利息。</w:t>
      </w:r>
    </w:p>
    <w:p w14:paraId="4716CA5D">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jc w:val="center"/>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三、其他约定事项</w:t>
      </w:r>
    </w:p>
    <w:p w14:paraId="6344A2B2">
      <w:pPr>
        <w:keepNext w:val="0"/>
        <w:keepLines w:val="0"/>
        <w:pageBreakBefore w:val="0"/>
        <w:widowControl/>
        <w:kinsoku/>
        <w:wordWrap/>
        <w:overflowPunct/>
        <w:topLinePunct w:val="0"/>
        <w:autoSpaceDE/>
        <w:autoSpaceDN/>
        <w:bidi w:val="0"/>
        <w:adjustRightInd w:val="0"/>
        <w:snapToGrid w:val="0"/>
        <w:spacing w:line="576" w:lineRule="exact"/>
        <w:ind w:firstLine="646"/>
        <w:jc w:val="both"/>
        <w:textAlignment w:val="auto"/>
        <w:rPr>
          <w:rFonts w:hint="eastAsia" w:ascii="仿宋" w:hAnsi="仿宋" w:eastAsia="仿宋"/>
          <w:sz w:val="32"/>
          <w:szCs w:val="32"/>
          <w:lang w:val="en-US" w:eastAsia="zh-CN"/>
        </w:rPr>
      </w:pPr>
      <w:r>
        <w:rPr>
          <w:rFonts w:hint="eastAsia" w:ascii="仿宋" w:hAnsi="仿宋" w:eastAsia="仿宋"/>
          <w:b/>
          <w:bCs/>
          <w:sz w:val="32"/>
          <w:szCs w:val="32"/>
          <w:lang w:val="en-US" w:eastAsia="zh-CN"/>
        </w:rPr>
        <w:t xml:space="preserve">第二十一条 </w:t>
      </w:r>
      <w:r>
        <w:rPr>
          <w:rFonts w:hint="eastAsia" w:ascii="仿宋" w:hAnsi="仿宋" w:eastAsia="仿宋"/>
          <w:sz w:val="32"/>
          <w:szCs w:val="32"/>
        </w:rPr>
        <w:t>本协议自双方签字盖章之日起生效。生效后双方要严格遵守《协议》条款。协议书一式两份，市管理中心、缴存人各一份，均具有同等法律效力。缴存人如注销住房公积金账户或转入</w:t>
      </w:r>
      <w:r>
        <w:rPr>
          <w:rFonts w:hint="eastAsia" w:ascii="仿宋" w:hAnsi="仿宋" w:eastAsia="仿宋"/>
          <w:sz w:val="32"/>
          <w:szCs w:val="32"/>
          <w:lang w:eastAsia="zh-CN"/>
        </w:rPr>
        <w:t>其他</w:t>
      </w:r>
      <w:r>
        <w:rPr>
          <w:rFonts w:hint="eastAsia" w:ascii="仿宋" w:hAnsi="仿宋" w:eastAsia="仿宋"/>
          <w:sz w:val="32"/>
          <w:szCs w:val="32"/>
        </w:rPr>
        <w:t>缴存单位继续缴存的，本协议即自行终止。遇国家政策调整，本协议中条款内容与国家政策有冲突的，以国家政策为准。</w:t>
      </w:r>
    </w:p>
    <w:p w14:paraId="69AFCB6E">
      <w:pPr>
        <w:spacing w:line="220" w:lineRule="atLeast"/>
        <w:jc w:val="center"/>
        <w:rPr>
          <w:rFonts w:ascii="仿宋" w:hAnsi="仿宋" w:eastAsia="仿宋"/>
          <w:sz w:val="32"/>
          <w:szCs w:val="32"/>
        </w:rPr>
      </w:pPr>
      <w:r>
        <w:rPr>
          <w:rFonts w:hint="eastAsia" w:ascii="仿宋" w:hAnsi="仿宋" w:eastAsia="仿宋"/>
          <w:sz w:val="32"/>
          <w:szCs w:val="32"/>
          <w:lang w:val="en-US" w:eastAsia="zh-CN"/>
        </w:rPr>
        <w:t>甲方（签名）</w:t>
      </w:r>
      <w:r>
        <w:rPr>
          <w:rFonts w:hint="eastAsia" w:ascii="仿宋" w:hAnsi="仿宋" w:eastAsia="仿宋"/>
          <w:sz w:val="32"/>
          <w:szCs w:val="32"/>
          <w:lang w:eastAsia="zh-CN"/>
        </w:rPr>
        <w:t>：</w:t>
      </w:r>
      <w:r>
        <w:rPr>
          <w:rFonts w:hint="eastAsia" w:ascii="仿宋" w:hAnsi="仿宋" w:eastAsia="仿宋"/>
          <w:sz w:val="32"/>
          <w:szCs w:val="32"/>
          <w:lang w:val="en-US" w:eastAsia="zh-CN"/>
        </w:rPr>
        <w:t xml:space="preserve">                   乙方</w:t>
      </w:r>
      <w:r>
        <w:rPr>
          <w:rFonts w:hint="eastAsia" w:ascii="仿宋" w:hAnsi="仿宋" w:eastAsia="仿宋"/>
          <w:sz w:val="32"/>
          <w:szCs w:val="32"/>
        </w:rPr>
        <w:t>（</w:t>
      </w:r>
      <w:r>
        <w:rPr>
          <w:rFonts w:hint="eastAsia" w:ascii="仿宋" w:hAnsi="仿宋" w:eastAsia="仿宋"/>
          <w:sz w:val="32"/>
          <w:szCs w:val="32"/>
          <w:lang w:val="en-US" w:eastAsia="zh-CN"/>
        </w:rPr>
        <w:t>盖章</w:t>
      </w:r>
      <w:r>
        <w:rPr>
          <w:rFonts w:hint="eastAsia" w:ascii="仿宋" w:hAnsi="仿宋" w:eastAsia="仿宋"/>
          <w:sz w:val="32"/>
          <w:szCs w:val="32"/>
        </w:rPr>
        <w:t>）</w:t>
      </w:r>
      <w:r>
        <w:rPr>
          <w:rFonts w:hint="eastAsia" w:ascii="仿宋" w:hAnsi="仿宋" w:eastAsia="仿宋"/>
          <w:sz w:val="32"/>
          <w:szCs w:val="32"/>
          <w:lang w:eastAsia="zh-CN"/>
        </w:rPr>
        <w:t>：</w:t>
      </w:r>
    </w:p>
    <w:p w14:paraId="1E8646D8">
      <w:pPr>
        <w:spacing w:line="220" w:lineRule="atLeast"/>
        <w:jc w:val="center"/>
        <w:rPr>
          <w:rFonts w:ascii="仿宋" w:hAnsi="仿宋" w:eastAsia="仿宋"/>
          <w:sz w:val="32"/>
          <w:szCs w:val="32"/>
        </w:rPr>
      </w:pPr>
      <w:r>
        <w:rPr>
          <w:rFonts w:hint="eastAsia" w:ascii="仿宋" w:hAnsi="仿宋" w:eastAsia="仿宋"/>
          <w:sz w:val="32"/>
          <w:szCs w:val="32"/>
        </w:rPr>
        <w:t>年  月  日                       年  月  日</w:t>
      </w:r>
    </w:p>
    <w:sectPr>
      <w:pgSz w:w="11906" w:h="16838"/>
      <w:pgMar w:top="2098" w:right="1531" w:bottom="1984" w:left="1531" w:header="708" w:footer="709" w:gutter="0"/>
      <w:cols w:space="0" w:num="1"/>
      <w:rtlGutter w:val="0"/>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67A3659-D233-4D1D-97ED-672661CFD972}"/>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F0B90D61-FB2F-4415-8727-356FC6DAA31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decorative"/>
    <w:pitch w:val="default"/>
    <w:sig w:usb0="E1002EFF" w:usb1="C000605B" w:usb2="00000029" w:usb3="00000000" w:csb0="200101FF" w:csb1="20280000"/>
  </w:font>
  <w:font w:name="微软雅黑">
    <w:panose1 w:val="020B0503020204020204"/>
    <w:charset w:val="86"/>
    <w:family w:val="decorative"/>
    <w:pitch w:val="default"/>
    <w:sig w:usb0="80000287" w:usb1="2ACF3C50" w:usb2="00000016" w:usb3="00000000" w:csb0="0004001F" w:csb1="00000000"/>
  </w:font>
  <w:font w:name="仿宋">
    <w:panose1 w:val="02010609060101010101"/>
    <w:charset w:val="86"/>
    <w:family w:val="swiss"/>
    <w:pitch w:val="default"/>
    <w:sig w:usb0="800002BF" w:usb1="38CF7CFA" w:usb2="00000016" w:usb3="00000000" w:csb0="00040001" w:csb1="00000000"/>
    <w:embedRegular r:id="rId3" w:fontKey="{906993EC-23CA-4F24-88D9-ED3A81ABC707}"/>
  </w:font>
  <w:font w:name="方正小标宋简体">
    <w:panose1 w:val="02000000000000000000"/>
    <w:charset w:val="86"/>
    <w:family w:val="auto"/>
    <w:pitch w:val="default"/>
    <w:sig w:usb0="00000001" w:usb1="08000000" w:usb2="00000000" w:usb3="00000000" w:csb0="00040000" w:csb1="00000000"/>
    <w:embedRegular r:id="rId4" w:fontKey="{BAB8881C-8775-47DB-8540-F8ED17411916}"/>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F5C9F"/>
    <w:rsid w:val="001330AC"/>
    <w:rsid w:val="00182F9E"/>
    <w:rsid w:val="001C0FD9"/>
    <w:rsid w:val="00203DFB"/>
    <w:rsid w:val="00270F8E"/>
    <w:rsid w:val="002F62CB"/>
    <w:rsid w:val="00323B43"/>
    <w:rsid w:val="003D37D8"/>
    <w:rsid w:val="003D6A6C"/>
    <w:rsid w:val="00426133"/>
    <w:rsid w:val="004358AB"/>
    <w:rsid w:val="00477667"/>
    <w:rsid w:val="00477E89"/>
    <w:rsid w:val="004A0825"/>
    <w:rsid w:val="004F0E3D"/>
    <w:rsid w:val="00521D51"/>
    <w:rsid w:val="005333E7"/>
    <w:rsid w:val="0055249A"/>
    <w:rsid w:val="00554869"/>
    <w:rsid w:val="005849FA"/>
    <w:rsid w:val="005A3466"/>
    <w:rsid w:val="00652A21"/>
    <w:rsid w:val="00662CC2"/>
    <w:rsid w:val="007120D7"/>
    <w:rsid w:val="00712B19"/>
    <w:rsid w:val="00744241"/>
    <w:rsid w:val="00770F20"/>
    <w:rsid w:val="00803260"/>
    <w:rsid w:val="0086701A"/>
    <w:rsid w:val="00872783"/>
    <w:rsid w:val="00884525"/>
    <w:rsid w:val="008B7726"/>
    <w:rsid w:val="00915D09"/>
    <w:rsid w:val="0094215D"/>
    <w:rsid w:val="009B194C"/>
    <w:rsid w:val="00A72972"/>
    <w:rsid w:val="00A90F1F"/>
    <w:rsid w:val="00AA3C01"/>
    <w:rsid w:val="00AC013C"/>
    <w:rsid w:val="00BA024C"/>
    <w:rsid w:val="00C0111B"/>
    <w:rsid w:val="00C53E67"/>
    <w:rsid w:val="00CB1EB4"/>
    <w:rsid w:val="00CB228A"/>
    <w:rsid w:val="00CE5100"/>
    <w:rsid w:val="00D31D50"/>
    <w:rsid w:val="00D4148F"/>
    <w:rsid w:val="00DE2349"/>
    <w:rsid w:val="00E27973"/>
    <w:rsid w:val="00E35C7D"/>
    <w:rsid w:val="00E77128"/>
    <w:rsid w:val="00EF316F"/>
    <w:rsid w:val="00F354C9"/>
    <w:rsid w:val="00F8718B"/>
    <w:rsid w:val="01255120"/>
    <w:rsid w:val="01464EA3"/>
    <w:rsid w:val="031418F0"/>
    <w:rsid w:val="036E5786"/>
    <w:rsid w:val="045A1585"/>
    <w:rsid w:val="048028BE"/>
    <w:rsid w:val="04D8355C"/>
    <w:rsid w:val="05A54725"/>
    <w:rsid w:val="05AD2653"/>
    <w:rsid w:val="06333F24"/>
    <w:rsid w:val="06A44E95"/>
    <w:rsid w:val="06F62940"/>
    <w:rsid w:val="071A4FFB"/>
    <w:rsid w:val="085E5977"/>
    <w:rsid w:val="09E95336"/>
    <w:rsid w:val="0A880399"/>
    <w:rsid w:val="0B0244B5"/>
    <w:rsid w:val="0B5617D0"/>
    <w:rsid w:val="0BAB4DBC"/>
    <w:rsid w:val="0C0B7609"/>
    <w:rsid w:val="0DDE102D"/>
    <w:rsid w:val="0DEB14A0"/>
    <w:rsid w:val="0E06277D"/>
    <w:rsid w:val="0EF63BD5"/>
    <w:rsid w:val="0F855BBA"/>
    <w:rsid w:val="0FB767C8"/>
    <w:rsid w:val="101547FE"/>
    <w:rsid w:val="10F53065"/>
    <w:rsid w:val="10F93ED3"/>
    <w:rsid w:val="125C471A"/>
    <w:rsid w:val="1283439D"/>
    <w:rsid w:val="12CA1FCB"/>
    <w:rsid w:val="137C6416"/>
    <w:rsid w:val="14B22D17"/>
    <w:rsid w:val="175B7696"/>
    <w:rsid w:val="18CE20EA"/>
    <w:rsid w:val="1921046B"/>
    <w:rsid w:val="19CD414F"/>
    <w:rsid w:val="1A8567D8"/>
    <w:rsid w:val="1B6120A9"/>
    <w:rsid w:val="1B9360E7"/>
    <w:rsid w:val="1B9B4505"/>
    <w:rsid w:val="1B9C027D"/>
    <w:rsid w:val="1D347D1F"/>
    <w:rsid w:val="1D9236E6"/>
    <w:rsid w:val="1DE0617B"/>
    <w:rsid w:val="1EED0876"/>
    <w:rsid w:val="1FC41B50"/>
    <w:rsid w:val="20771791"/>
    <w:rsid w:val="20F31B81"/>
    <w:rsid w:val="215018EE"/>
    <w:rsid w:val="23541FE2"/>
    <w:rsid w:val="2526307B"/>
    <w:rsid w:val="268E7F4D"/>
    <w:rsid w:val="27550B20"/>
    <w:rsid w:val="27CE5C62"/>
    <w:rsid w:val="284B1061"/>
    <w:rsid w:val="29325D7D"/>
    <w:rsid w:val="2B3703A2"/>
    <w:rsid w:val="2D8B44C7"/>
    <w:rsid w:val="2EA80FBB"/>
    <w:rsid w:val="2F8E07F4"/>
    <w:rsid w:val="310D77FB"/>
    <w:rsid w:val="32560D2E"/>
    <w:rsid w:val="32D83E66"/>
    <w:rsid w:val="32DE2A16"/>
    <w:rsid w:val="331210F9"/>
    <w:rsid w:val="338C368E"/>
    <w:rsid w:val="34E02B31"/>
    <w:rsid w:val="36050AA1"/>
    <w:rsid w:val="36E903C3"/>
    <w:rsid w:val="37046FAB"/>
    <w:rsid w:val="370C175D"/>
    <w:rsid w:val="38082ACA"/>
    <w:rsid w:val="38507FCD"/>
    <w:rsid w:val="38E946AA"/>
    <w:rsid w:val="39423DBA"/>
    <w:rsid w:val="3C047C3E"/>
    <w:rsid w:val="3CA803D8"/>
    <w:rsid w:val="3CFC24D2"/>
    <w:rsid w:val="3D436353"/>
    <w:rsid w:val="3F650802"/>
    <w:rsid w:val="406B009A"/>
    <w:rsid w:val="4070746C"/>
    <w:rsid w:val="40AF61D9"/>
    <w:rsid w:val="40BA4B7E"/>
    <w:rsid w:val="42C872D9"/>
    <w:rsid w:val="458A2D71"/>
    <w:rsid w:val="467557CF"/>
    <w:rsid w:val="46A26BC0"/>
    <w:rsid w:val="47A959A5"/>
    <w:rsid w:val="48052B82"/>
    <w:rsid w:val="48775B70"/>
    <w:rsid w:val="48EB621C"/>
    <w:rsid w:val="48F119BA"/>
    <w:rsid w:val="49373210"/>
    <w:rsid w:val="496D4324"/>
    <w:rsid w:val="4A175819"/>
    <w:rsid w:val="4A510301"/>
    <w:rsid w:val="4A63203D"/>
    <w:rsid w:val="4AF866A5"/>
    <w:rsid w:val="4B316E45"/>
    <w:rsid w:val="4BC8126F"/>
    <w:rsid w:val="4C674A2F"/>
    <w:rsid w:val="4D422183"/>
    <w:rsid w:val="4D994499"/>
    <w:rsid w:val="4EC76DE4"/>
    <w:rsid w:val="4FBD1364"/>
    <w:rsid w:val="500951DA"/>
    <w:rsid w:val="51A33096"/>
    <w:rsid w:val="51B573C7"/>
    <w:rsid w:val="51C50152"/>
    <w:rsid w:val="52752746"/>
    <w:rsid w:val="52F12681"/>
    <w:rsid w:val="531225F7"/>
    <w:rsid w:val="53815CF0"/>
    <w:rsid w:val="53B836B2"/>
    <w:rsid w:val="53CA4C80"/>
    <w:rsid w:val="54282699"/>
    <w:rsid w:val="544910A5"/>
    <w:rsid w:val="54B021B2"/>
    <w:rsid w:val="5538576B"/>
    <w:rsid w:val="56075D18"/>
    <w:rsid w:val="57D165DD"/>
    <w:rsid w:val="59D714F6"/>
    <w:rsid w:val="5A320F14"/>
    <w:rsid w:val="5A636DF7"/>
    <w:rsid w:val="5AA4447D"/>
    <w:rsid w:val="5AFB6D51"/>
    <w:rsid w:val="5BBE156E"/>
    <w:rsid w:val="5CC901CB"/>
    <w:rsid w:val="5CCA26AB"/>
    <w:rsid w:val="5D9C58DF"/>
    <w:rsid w:val="5DAB5B22"/>
    <w:rsid w:val="5ED879CC"/>
    <w:rsid w:val="5FEF4354"/>
    <w:rsid w:val="601F6805"/>
    <w:rsid w:val="608F7EB6"/>
    <w:rsid w:val="61AC3024"/>
    <w:rsid w:val="61F720B4"/>
    <w:rsid w:val="621B3277"/>
    <w:rsid w:val="62B72874"/>
    <w:rsid w:val="62FD6ACC"/>
    <w:rsid w:val="632B573B"/>
    <w:rsid w:val="6508277B"/>
    <w:rsid w:val="67204E8B"/>
    <w:rsid w:val="674F5AE1"/>
    <w:rsid w:val="67B7048A"/>
    <w:rsid w:val="682B3AE8"/>
    <w:rsid w:val="69476824"/>
    <w:rsid w:val="6A792065"/>
    <w:rsid w:val="6A8032A9"/>
    <w:rsid w:val="6AAF1BB7"/>
    <w:rsid w:val="6B2C6F32"/>
    <w:rsid w:val="6B741C4A"/>
    <w:rsid w:val="6B9D6AAA"/>
    <w:rsid w:val="6C094140"/>
    <w:rsid w:val="6C9C6D62"/>
    <w:rsid w:val="6CA1081C"/>
    <w:rsid w:val="6CC22541"/>
    <w:rsid w:val="6CF070AE"/>
    <w:rsid w:val="6E0830F2"/>
    <w:rsid w:val="6F9C52CB"/>
    <w:rsid w:val="700C600B"/>
    <w:rsid w:val="70F0688D"/>
    <w:rsid w:val="718865BA"/>
    <w:rsid w:val="72E96A79"/>
    <w:rsid w:val="73701B05"/>
    <w:rsid w:val="73A87D37"/>
    <w:rsid w:val="73DE4104"/>
    <w:rsid w:val="74A02333"/>
    <w:rsid w:val="74CD1347"/>
    <w:rsid w:val="75B5764E"/>
    <w:rsid w:val="76830F93"/>
    <w:rsid w:val="771A36A5"/>
    <w:rsid w:val="792B7E76"/>
    <w:rsid w:val="79C5162E"/>
    <w:rsid w:val="7A8719DC"/>
    <w:rsid w:val="7B580C40"/>
    <w:rsid w:val="7BA23C69"/>
    <w:rsid w:val="7C286EE2"/>
    <w:rsid w:val="7C330AA7"/>
    <w:rsid w:val="7CEF3035"/>
    <w:rsid w:val="7D657644"/>
    <w:rsid w:val="7DE71E07"/>
    <w:rsid w:val="7EA85A3A"/>
    <w:rsid w:val="7F076C05"/>
    <w:rsid w:val="7F573B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List Paragraph"/>
    <w:basedOn w:val="1"/>
    <w:qFormat/>
    <w:uiPriority w:val="34"/>
    <w:pPr>
      <w:ind w:firstLine="420" w:firstLineChars="200"/>
    </w:pPr>
  </w:style>
  <w:style w:type="character" w:customStyle="1" w:styleId="9">
    <w:name w:val="页眉 Char"/>
    <w:basedOn w:val="7"/>
    <w:link w:val="3"/>
    <w:semiHidden/>
    <w:qFormat/>
    <w:uiPriority w:val="99"/>
    <w:rPr>
      <w:rFonts w:ascii="Tahoma" w:hAnsi="Tahoma"/>
      <w:sz w:val="18"/>
      <w:szCs w:val="18"/>
    </w:rPr>
  </w:style>
  <w:style w:type="character" w:customStyle="1" w:styleId="10">
    <w:name w:val="页脚 Char"/>
    <w:basedOn w:val="7"/>
    <w:link w:val="2"/>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tyleName="" SelectedStyle=""/>
</file>

<file path=customXml/item2.xml><?xml version="1.0" encoding="utf-8"?>
<contractReview xmlns="http://schemas.wps.cn/vas-ai-hub/contract-review">
  <reviewItems>
    <reviewItem>
      <errorID>f25e70c0-702b-4f28-985f-a44639f72c0a</errorID>
      <errorWord>住房公积金由市管理中心</errorWord>
      <group>L1_Knowledge</group>
      <groupName>知识性问题</groupName>
      <ability>L2_Organization</ability>
      <abilityName>机构检查</abilityName>
      <candidateList>
        <item>住房公积金管理中心</item>
      </candidateList>
      <explain>机关单位全简称表述错误</explain>
      <paraID>16B85EB5</paraID>
      <start>13</start>
      <end>24</end>
      <status>ignored</status>
      <modifiedWord/>
      <trackRevisions>false</trackRevisions>
    </reviewItem>
  </reviewItems>
  <config/>
</contractReview>
</file>

<file path=customXml/itemProps1.xml><?xml version="1.0" encoding="utf-8"?>
<ds:datastoreItem xmlns:ds="http://schemas.openxmlformats.org/officeDocument/2006/customXml" ds:itemID="{BF98A971-680A-4E0A-9DB1-58980FDF37F3}">
  <ds:schemaRefs/>
</ds:datastoreItem>
</file>

<file path=customXml/itemProps2.xml><?xml version="1.0" encoding="utf-8"?>
<ds:datastoreItem xmlns:ds="http://schemas.openxmlformats.org/officeDocument/2006/customXml" ds:itemID="{57d26771-6041-4cdf-8993-7055e8c395f0}">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1988</Words>
  <Characters>2019</Characters>
  <Lines>13</Lines>
  <Paragraphs>3</Paragraphs>
  <TotalTime>0</TotalTime>
  <ScaleCrop>false</ScaleCrop>
  <LinksUpToDate>false</LinksUpToDate>
  <CharactersWithSpaces>2314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UOS</dc:creator>
  <cp:lastModifiedBy>绪离索</cp:lastModifiedBy>
  <cp:lastPrinted>2026-05-20T00:47:00Z</cp:lastPrinted>
  <dcterms:modified xsi:type="dcterms:W3CDTF">2026-05-21T06:04:19Z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94B72CFE34004DE9ADF08BB0096DCB97_13</vt:lpwstr>
  </property>
  <property fmtid="{D5CDD505-2E9C-101B-9397-08002B2CF9AE}" pid="4" name="KSOTemplateDocerSaveRecord">
    <vt:lpwstr>eyJoZGlkIjoiMDJlMmNhNWUxYWU5MTg5OWMzODFjZWQwNjhlODlkZjgiLCJ1c2VySWQiOiI0NDM3MTg3NzYifQ==</vt:lpwstr>
  </property>
</Properties>
</file>